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1271"/>
        <w:gridCol w:w="4391"/>
        <w:gridCol w:w="2832"/>
      </w:tblGrid>
      <w:tr w:rsidR="004F1021" w:rsidRPr="00AB287D" w14:paraId="28CF5565" w14:textId="77777777" w:rsidTr="004F1021">
        <w:tc>
          <w:tcPr>
            <w:tcW w:w="1271" w:type="dxa"/>
          </w:tcPr>
          <w:p w14:paraId="76F264C6"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TEMA 1102</w:t>
            </w:r>
          </w:p>
        </w:tc>
        <w:tc>
          <w:tcPr>
            <w:tcW w:w="4391" w:type="dxa"/>
          </w:tcPr>
          <w:p w14:paraId="4C10F3EB"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333333"/>
                <w:sz w:val="20"/>
                <w:szCs w:val="20"/>
                <w:shd w:val="clear" w:color="auto" w:fill="FFFFFF"/>
              </w:rPr>
              <w:t xml:space="preserve">Descrição: Recurso extraordinário em que se discute, à luz dos artigos 2º; 5º, caput; 97; 195, §§ 4º e 5º; e 201 da Constituição Federal, bem como do art. 26 da Emenda Constitucional nº 103/19, se é possível a aplicação da regra definitiva do artigo 29, incisos I e II, da Lei nº 8.213/91, na apuração do salário de benefício, quando mais favorável ao segurado do que a regra de transição contida no artigo 3º da Lei nº 9.876/99, aos segurados que ingressaram no sistema antes de 26/11/99, data da publicação da Lei nº 9.876/99. (REVISÃO DA VIDA </w:t>
            </w:r>
            <w:proofErr w:type="spellStart"/>
            <w:r w:rsidRPr="00AB287D">
              <w:rPr>
                <w:rFonts w:ascii="Times New Roman" w:hAnsi="Times New Roman" w:cs="Times New Roman"/>
                <w:color w:val="333333"/>
                <w:sz w:val="20"/>
                <w:szCs w:val="20"/>
                <w:shd w:val="clear" w:color="auto" w:fill="FFFFFF"/>
              </w:rPr>
              <w:t>TODAp</w:t>
            </w:r>
            <w:proofErr w:type="spellEnd"/>
          </w:p>
        </w:tc>
        <w:tc>
          <w:tcPr>
            <w:tcW w:w="2832" w:type="dxa"/>
          </w:tcPr>
          <w:p w14:paraId="416A5F1B"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 xml:space="preserve">REPERCUSSAO GERAL </w:t>
            </w:r>
          </w:p>
        </w:tc>
      </w:tr>
      <w:tr w:rsidR="004F1021" w:rsidRPr="00AB287D" w14:paraId="428263C9" w14:textId="77777777" w:rsidTr="004F1021">
        <w:tc>
          <w:tcPr>
            <w:tcW w:w="1271" w:type="dxa"/>
          </w:tcPr>
          <w:p w14:paraId="350BBB37" w14:textId="77777777" w:rsidR="004F1021" w:rsidRPr="00AB287D" w:rsidRDefault="004F1021"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TEMA 1095</w:t>
            </w:r>
          </w:p>
        </w:tc>
        <w:tc>
          <w:tcPr>
            <w:tcW w:w="4391" w:type="dxa"/>
          </w:tcPr>
          <w:p w14:paraId="1E19F750" w14:textId="77777777" w:rsidR="004F1021" w:rsidRPr="00AB287D" w:rsidRDefault="004F1021"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color w:val="333333"/>
                <w:sz w:val="20"/>
                <w:szCs w:val="20"/>
                <w:highlight w:val="yellow"/>
                <w:shd w:val="clear" w:color="auto" w:fill="FFFFFF"/>
              </w:rPr>
              <w:t>Recurso extraordinário em que se discute, à luz dos artigos 1º, inciso III, 5º, 6º, 195, § 5º, 201 e 203 da Constituição Federal, bem como dos artigos 1º, 5º e 28 da Convenção Internacional sobre os Direitos das Pessoas com Deficiência, a constitucionalidade da extensão do adicional de 25% a outros benefícios previdenciários, além da aposentadoria por invalide</w:t>
            </w:r>
          </w:p>
        </w:tc>
        <w:tc>
          <w:tcPr>
            <w:tcW w:w="2832" w:type="dxa"/>
          </w:tcPr>
          <w:p w14:paraId="653172BB" w14:textId="77777777" w:rsidR="003C35CC" w:rsidRPr="00AB287D" w:rsidRDefault="003C35CC" w:rsidP="00AB287D">
            <w:pPr>
              <w:spacing w:line="360" w:lineRule="auto"/>
              <w:jc w:val="both"/>
              <w:rPr>
                <w:rFonts w:ascii="Times New Roman" w:hAnsi="Times New Roman" w:cs="Times New Roman"/>
                <w:sz w:val="20"/>
                <w:szCs w:val="20"/>
                <w:highlight w:val="yellow"/>
              </w:rPr>
            </w:pPr>
          </w:p>
          <w:p w14:paraId="350B5264" w14:textId="77777777" w:rsidR="004F1021" w:rsidRPr="00AB287D" w:rsidRDefault="003C35CC"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 xml:space="preserve">TRÂNSITO EM JULGADO </w:t>
            </w:r>
            <w:r w:rsidR="004F1021" w:rsidRPr="00AB287D">
              <w:rPr>
                <w:rFonts w:ascii="Times New Roman" w:hAnsi="Times New Roman" w:cs="Times New Roman"/>
                <w:sz w:val="20"/>
                <w:szCs w:val="20"/>
                <w:highlight w:val="yellow"/>
              </w:rPr>
              <w:t>EM 13/08/2021</w:t>
            </w:r>
          </w:p>
          <w:p w14:paraId="0E6493BB" w14:textId="77777777" w:rsidR="004F1021" w:rsidRPr="00AB287D" w:rsidRDefault="004F1021" w:rsidP="00AB287D">
            <w:pPr>
              <w:spacing w:line="360" w:lineRule="auto"/>
              <w:jc w:val="both"/>
              <w:rPr>
                <w:rFonts w:ascii="Times New Roman" w:hAnsi="Times New Roman" w:cs="Times New Roman"/>
                <w:sz w:val="20"/>
                <w:szCs w:val="20"/>
                <w:highlight w:val="yellow"/>
              </w:rPr>
            </w:pPr>
          </w:p>
          <w:p w14:paraId="438438C3"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highlight w:val="yellow"/>
              </w:rPr>
              <w:br/>
            </w:r>
            <w:r w:rsidRPr="00AB287D">
              <w:rPr>
                <w:rFonts w:ascii="Times New Roman" w:hAnsi="Times New Roman" w:cs="Times New Roman"/>
                <w:color w:val="333333"/>
                <w:sz w:val="20"/>
                <w:szCs w:val="20"/>
                <w:highlight w:val="yellow"/>
                <w:shd w:val="clear" w:color="auto" w:fill="FFFFFF"/>
              </w:rPr>
              <w:t xml:space="preserve">Decisão: O Tribunal, por maioria, apreciando o tema 1.095 da repercussão geral, deu provimento ao recurso extraordinário para: a) declarar a impossibilidade de concessão e extensão do “auxílio-acompanhante” para todas as espécies de aposentadoria, com a fixação da seguinte tese: “No âmbito do Regime Geral de Previdência Social (RGPS), somente lei pode criar ou ampliar benefícios e vantagens previdenciárias, não havendo, por ora, previsão de extensão do auxílio da grande invalidez a todas às espécies de aposentadoria”; b) modular os efeitos da tese de repercussão geral, de forma a se preservarem os direitos dos segurados cujo reconhecimento judicial tenha se </w:t>
            </w:r>
            <w:r w:rsidRPr="00AB287D">
              <w:rPr>
                <w:rFonts w:ascii="Times New Roman" w:hAnsi="Times New Roman" w:cs="Times New Roman"/>
                <w:color w:val="333333"/>
                <w:sz w:val="20"/>
                <w:szCs w:val="20"/>
                <w:highlight w:val="yellow"/>
                <w:shd w:val="clear" w:color="auto" w:fill="FFFFFF"/>
              </w:rPr>
              <w:lastRenderedPageBreak/>
              <w:t xml:space="preserve">dado por decisão transitada em julgado até a data deste julgamento; e c) declarar a </w:t>
            </w:r>
            <w:proofErr w:type="spellStart"/>
            <w:r w:rsidRPr="00AB287D">
              <w:rPr>
                <w:rFonts w:ascii="Times New Roman" w:hAnsi="Times New Roman" w:cs="Times New Roman"/>
                <w:color w:val="333333"/>
                <w:sz w:val="20"/>
                <w:szCs w:val="20"/>
                <w:highlight w:val="yellow"/>
                <w:shd w:val="clear" w:color="auto" w:fill="FFFFFF"/>
              </w:rPr>
              <w:t>irrepetibilidade</w:t>
            </w:r>
            <w:proofErr w:type="spellEnd"/>
            <w:r w:rsidRPr="00AB287D">
              <w:rPr>
                <w:rFonts w:ascii="Times New Roman" w:hAnsi="Times New Roman" w:cs="Times New Roman"/>
                <w:color w:val="333333"/>
                <w:sz w:val="20"/>
                <w:szCs w:val="20"/>
                <w:highlight w:val="yellow"/>
                <w:shd w:val="clear" w:color="auto" w:fill="FFFFFF"/>
              </w:rPr>
              <w:t xml:space="preserve"> dos valores alimentares recebidos de boa-fé por força de decisão judicial ou administrativa até a proclamação do resultado deste julgamento, nos termos do voto do Relator, vencido o Ministro Edson Fachin e, parcialmente, o Ministro Marco Aurélio, que divergia quanto à modulação dos efeitos da decisão. Falaram: pelo recorrente, o Dr. Vitor Fernando Gonçalves </w:t>
            </w:r>
            <w:proofErr w:type="spellStart"/>
            <w:r w:rsidRPr="00AB287D">
              <w:rPr>
                <w:rFonts w:ascii="Times New Roman" w:hAnsi="Times New Roman" w:cs="Times New Roman"/>
                <w:color w:val="333333"/>
                <w:sz w:val="20"/>
                <w:szCs w:val="20"/>
                <w:highlight w:val="yellow"/>
                <w:shd w:val="clear" w:color="auto" w:fill="FFFFFF"/>
              </w:rPr>
              <w:t>Cordula</w:t>
            </w:r>
            <w:proofErr w:type="spellEnd"/>
            <w:r w:rsidRPr="00AB287D">
              <w:rPr>
                <w:rFonts w:ascii="Times New Roman" w:hAnsi="Times New Roman" w:cs="Times New Roman"/>
                <w:color w:val="333333"/>
                <w:sz w:val="20"/>
                <w:szCs w:val="20"/>
                <w:highlight w:val="yellow"/>
                <w:shd w:val="clear" w:color="auto" w:fill="FFFFFF"/>
              </w:rPr>
              <w:t>, Procurador Federal; e, pelo interessado, o Dr. André Luiz Moro Bittencourt. Plenário, Sessão Virtual de 11.6.2021 a 18.6.2021.</w:t>
            </w:r>
          </w:p>
        </w:tc>
      </w:tr>
      <w:tr w:rsidR="004F1021" w:rsidRPr="00AB287D" w14:paraId="00AC02CF" w14:textId="77777777" w:rsidTr="004F1021">
        <w:tc>
          <w:tcPr>
            <w:tcW w:w="1271" w:type="dxa"/>
          </w:tcPr>
          <w:p w14:paraId="1F3AF2C8"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lastRenderedPageBreak/>
              <w:t>TEMA 1209</w:t>
            </w:r>
          </w:p>
        </w:tc>
        <w:tc>
          <w:tcPr>
            <w:tcW w:w="4391" w:type="dxa"/>
          </w:tcPr>
          <w:p w14:paraId="3380B78D"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333333"/>
                <w:sz w:val="20"/>
                <w:szCs w:val="20"/>
                <w:shd w:val="clear" w:color="auto" w:fill="FFFFFF"/>
              </w:rPr>
              <w:t>Recurso extraordinário em que se discute, à luz dos artigos 201, § 1º, e 202, II, da Constituição Federal, a possibilidade de concessão de aposentadoria especial, pelo Regime Geral de Previdência Social (RGPS), ao vigilante que comprove exposição a atividade nociva com risco à integridade física do segurado, considerando-se o disposto no artigo 201, § 1º, da Constituição Federal e as alterações promovidas pela Emenda Constitucional 103/2019. (VIGILANTE)</w:t>
            </w:r>
          </w:p>
        </w:tc>
        <w:tc>
          <w:tcPr>
            <w:tcW w:w="2832" w:type="dxa"/>
          </w:tcPr>
          <w:p w14:paraId="6C0E6E57"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 xml:space="preserve">REPERCUSSAO GERAL </w:t>
            </w:r>
          </w:p>
        </w:tc>
      </w:tr>
      <w:tr w:rsidR="004F1021" w:rsidRPr="00AB287D" w14:paraId="38323305" w14:textId="77777777" w:rsidTr="004F1021">
        <w:tc>
          <w:tcPr>
            <w:tcW w:w="1271" w:type="dxa"/>
          </w:tcPr>
          <w:p w14:paraId="61F474C5" w14:textId="77777777" w:rsidR="004F1021" w:rsidRPr="00AB287D" w:rsidRDefault="004F1021"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TEMA 810</w:t>
            </w:r>
          </w:p>
        </w:tc>
        <w:tc>
          <w:tcPr>
            <w:tcW w:w="4391" w:type="dxa"/>
          </w:tcPr>
          <w:p w14:paraId="7A30A4E5" w14:textId="77777777" w:rsidR="004F1021" w:rsidRPr="00AB287D" w:rsidRDefault="00B70330"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 xml:space="preserve">VALIDADE DE CORREÇÃO MONETARIA E DOS JUROS MORATÓRIOS INCIDENTES SOBRE AS CONDENAÇÕES IMPOSTAS A FAZENDA PÚBLICA CONFORME PREVISTO </w:t>
            </w:r>
            <w:r w:rsidRPr="00AB287D">
              <w:rPr>
                <w:rFonts w:ascii="Times New Roman" w:hAnsi="Times New Roman" w:cs="Times New Roman"/>
                <w:color w:val="333333"/>
                <w:sz w:val="20"/>
                <w:szCs w:val="20"/>
                <w:highlight w:val="yellow"/>
                <w:shd w:val="clear" w:color="auto" w:fill="FFFFFF"/>
              </w:rPr>
              <w:t> art. 1º-F da Lei 9.494/1997, com a redação dada pela Lei 11.960/2009.</w:t>
            </w:r>
          </w:p>
        </w:tc>
        <w:tc>
          <w:tcPr>
            <w:tcW w:w="2832" w:type="dxa"/>
          </w:tcPr>
          <w:p w14:paraId="3732F01C"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highlight w:val="yellow"/>
              </w:rPr>
              <w:t>TRANSITADO EM JULGADO</w:t>
            </w:r>
            <w:r w:rsidRPr="00AB287D">
              <w:rPr>
                <w:rFonts w:ascii="Times New Roman" w:hAnsi="Times New Roman" w:cs="Times New Roman"/>
                <w:sz w:val="20"/>
                <w:szCs w:val="20"/>
              </w:rPr>
              <w:t xml:space="preserve"> </w:t>
            </w:r>
          </w:p>
        </w:tc>
      </w:tr>
      <w:tr w:rsidR="004F1021" w:rsidRPr="00AB287D" w14:paraId="65FA6DBC" w14:textId="77777777" w:rsidTr="004F1021">
        <w:tc>
          <w:tcPr>
            <w:tcW w:w="1271" w:type="dxa"/>
          </w:tcPr>
          <w:p w14:paraId="78DC2047" w14:textId="77777777" w:rsidR="004F1021" w:rsidRPr="00AB287D" w:rsidRDefault="00FC119B"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TEMA 1025</w:t>
            </w:r>
          </w:p>
        </w:tc>
        <w:tc>
          <w:tcPr>
            <w:tcW w:w="4391" w:type="dxa"/>
          </w:tcPr>
          <w:p w14:paraId="2FCF3F5A" w14:textId="77777777" w:rsidR="004F1021" w:rsidRPr="00AB287D" w:rsidRDefault="00FC119B"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 xml:space="preserve">POSSIBILIDADE DE EXECUÇÃO DE PARCELAS VENCIDAS DE BENEFICIO PREVIDENCIÁRIO RECONHECIDO </w:t>
            </w:r>
            <w:r w:rsidRPr="00AB287D">
              <w:rPr>
                <w:rFonts w:ascii="Times New Roman" w:hAnsi="Times New Roman" w:cs="Times New Roman"/>
                <w:sz w:val="20"/>
                <w:szCs w:val="20"/>
                <w:highlight w:val="yellow"/>
              </w:rPr>
              <w:lastRenderedPageBreak/>
              <w:t>JUDICIALMENTE ANTERIORES A IMPLANTAÇÃO DE BENEFÍCIO CONCEDIDO NA ESFERA ADMINISTRATIVA</w:t>
            </w:r>
          </w:p>
        </w:tc>
        <w:tc>
          <w:tcPr>
            <w:tcW w:w="2832" w:type="dxa"/>
          </w:tcPr>
          <w:p w14:paraId="3CBE2767" w14:textId="77777777" w:rsidR="004F1021"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highlight w:val="yellow"/>
              </w:rPr>
              <w:lastRenderedPageBreak/>
              <w:t>NÃO TEM REPERCURSSAO GERAL</w:t>
            </w:r>
            <w:r w:rsidRPr="00AB287D">
              <w:rPr>
                <w:rFonts w:ascii="Times New Roman" w:hAnsi="Times New Roman" w:cs="Times New Roman"/>
                <w:sz w:val="20"/>
                <w:szCs w:val="20"/>
              </w:rPr>
              <w:t xml:space="preserve"> </w:t>
            </w:r>
          </w:p>
        </w:tc>
      </w:tr>
      <w:tr w:rsidR="004F1021" w:rsidRPr="00AB287D" w14:paraId="04057986" w14:textId="77777777" w:rsidTr="004F1021">
        <w:tc>
          <w:tcPr>
            <w:tcW w:w="1271" w:type="dxa"/>
          </w:tcPr>
          <w:p w14:paraId="5350C4E6" w14:textId="77777777" w:rsidR="004F1021" w:rsidRPr="00AB287D" w:rsidRDefault="00FA5C94" w:rsidP="00AB287D">
            <w:pPr>
              <w:spacing w:line="360" w:lineRule="auto"/>
              <w:jc w:val="both"/>
              <w:rPr>
                <w:rFonts w:ascii="Times New Roman" w:hAnsi="Times New Roman" w:cs="Times New Roman"/>
                <w:sz w:val="20"/>
                <w:szCs w:val="20"/>
              </w:rPr>
            </w:pPr>
            <w:r>
              <w:rPr>
                <w:rFonts w:ascii="Times New Roman" w:hAnsi="Times New Roman" w:cs="Times New Roman"/>
                <w:sz w:val="20"/>
                <w:szCs w:val="20"/>
              </w:rPr>
              <w:t>RE 639.856</w:t>
            </w:r>
          </w:p>
        </w:tc>
        <w:tc>
          <w:tcPr>
            <w:tcW w:w="4391" w:type="dxa"/>
          </w:tcPr>
          <w:p w14:paraId="5C9E9234" w14:textId="77777777" w:rsidR="00FA5C94" w:rsidRPr="00FA5C94" w:rsidRDefault="00FA5C94" w:rsidP="00FA5C94">
            <w:pPr>
              <w:spacing w:line="360" w:lineRule="auto"/>
              <w:jc w:val="both"/>
              <w:rPr>
                <w:rFonts w:ascii="Times New Roman" w:hAnsi="Times New Roman" w:cs="Times New Roman"/>
                <w:sz w:val="20"/>
                <w:szCs w:val="20"/>
              </w:rPr>
            </w:pPr>
            <w:r w:rsidRPr="00FA5C94">
              <w:rPr>
                <w:rFonts w:ascii="Times New Roman" w:hAnsi="Times New Roman" w:cs="Times New Roman"/>
                <w:sz w:val="20"/>
                <w:szCs w:val="20"/>
              </w:rPr>
              <w:t>Constitucional. 2. Previdenciário. Aposentadoria proporcional por</w:t>
            </w:r>
            <w:r>
              <w:rPr>
                <w:rFonts w:ascii="Times New Roman" w:hAnsi="Times New Roman" w:cs="Times New Roman"/>
                <w:sz w:val="20"/>
                <w:szCs w:val="20"/>
              </w:rPr>
              <w:t xml:space="preserve"> </w:t>
            </w:r>
            <w:r w:rsidRPr="00FA5C94">
              <w:rPr>
                <w:rFonts w:ascii="Times New Roman" w:hAnsi="Times New Roman" w:cs="Times New Roman"/>
                <w:sz w:val="20"/>
                <w:szCs w:val="20"/>
              </w:rPr>
              <w:t>tempo de contribuição. Fórmula de cálculo do salário de benefício. 3.</w:t>
            </w:r>
            <w:r>
              <w:rPr>
                <w:rFonts w:ascii="Times New Roman" w:hAnsi="Times New Roman" w:cs="Times New Roman"/>
                <w:sz w:val="20"/>
                <w:szCs w:val="20"/>
              </w:rPr>
              <w:t xml:space="preserve"> </w:t>
            </w:r>
            <w:r w:rsidRPr="00FA5C94">
              <w:rPr>
                <w:rFonts w:ascii="Times New Roman" w:hAnsi="Times New Roman" w:cs="Times New Roman"/>
                <w:sz w:val="20"/>
                <w:szCs w:val="20"/>
              </w:rPr>
              <w:t>Benefícios concedidos a segurados filiados ao Regime Geral até</w:t>
            </w:r>
          </w:p>
          <w:p w14:paraId="4A5BCF40" w14:textId="77777777" w:rsidR="00FA5C94" w:rsidRPr="00FA5C94" w:rsidRDefault="00FA5C94" w:rsidP="00FA5C94">
            <w:pPr>
              <w:spacing w:line="360" w:lineRule="auto"/>
              <w:jc w:val="both"/>
              <w:rPr>
                <w:rFonts w:ascii="Times New Roman" w:hAnsi="Times New Roman" w:cs="Times New Roman"/>
                <w:sz w:val="20"/>
                <w:szCs w:val="20"/>
              </w:rPr>
            </w:pPr>
            <w:r w:rsidRPr="00FA5C94">
              <w:rPr>
                <w:rFonts w:ascii="Times New Roman" w:hAnsi="Times New Roman" w:cs="Times New Roman"/>
                <w:sz w:val="20"/>
                <w:szCs w:val="20"/>
              </w:rPr>
              <w:t>12.12.1998. 4. Controvérsia. Incidência do fator previdenciário (Lei</w:t>
            </w:r>
            <w:r>
              <w:rPr>
                <w:rFonts w:ascii="Times New Roman" w:hAnsi="Times New Roman" w:cs="Times New Roman"/>
                <w:sz w:val="20"/>
                <w:szCs w:val="20"/>
              </w:rPr>
              <w:t xml:space="preserve"> </w:t>
            </w:r>
            <w:r w:rsidRPr="00FA5C94">
              <w:rPr>
                <w:rFonts w:ascii="Times New Roman" w:hAnsi="Times New Roman" w:cs="Times New Roman"/>
                <w:sz w:val="20"/>
                <w:szCs w:val="20"/>
              </w:rPr>
              <w:t>9.876/99) ou das regras de transição trazidas pela EC 20/98. 5. Cômputo</w:t>
            </w:r>
            <w:r>
              <w:rPr>
                <w:rFonts w:ascii="Times New Roman" w:hAnsi="Times New Roman" w:cs="Times New Roman"/>
                <w:sz w:val="20"/>
                <w:szCs w:val="20"/>
              </w:rPr>
              <w:t xml:space="preserve"> </w:t>
            </w:r>
            <w:r w:rsidRPr="00FA5C94">
              <w:rPr>
                <w:rFonts w:ascii="Times New Roman" w:hAnsi="Times New Roman" w:cs="Times New Roman"/>
                <w:sz w:val="20"/>
                <w:szCs w:val="20"/>
              </w:rPr>
              <w:t>de tempo posterior à Lei 9.876, de 26.11.99. 6. Relevância da questão</w:t>
            </w:r>
            <w:r>
              <w:rPr>
                <w:rFonts w:ascii="Times New Roman" w:hAnsi="Times New Roman" w:cs="Times New Roman"/>
                <w:sz w:val="20"/>
                <w:szCs w:val="20"/>
              </w:rPr>
              <w:t xml:space="preserve"> </w:t>
            </w:r>
            <w:r w:rsidRPr="00FA5C94">
              <w:rPr>
                <w:rFonts w:ascii="Times New Roman" w:hAnsi="Times New Roman" w:cs="Times New Roman"/>
                <w:sz w:val="20"/>
                <w:szCs w:val="20"/>
              </w:rPr>
              <w:t>constitucional. Repercussão geral reconhecida.</w:t>
            </w:r>
          </w:p>
          <w:p w14:paraId="3F2A957A" w14:textId="77777777" w:rsidR="00FA5C94" w:rsidRPr="00FA5C94" w:rsidRDefault="00FA5C94" w:rsidP="00FA5C94">
            <w:pPr>
              <w:spacing w:line="360" w:lineRule="auto"/>
              <w:jc w:val="both"/>
              <w:rPr>
                <w:rFonts w:ascii="Times New Roman" w:hAnsi="Times New Roman" w:cs="Times New Roman"/>
                <w:sz w:val="20"/>
                <w:szCs w:val="20"/>
              </w:rPr>
            </w:pPr>
            <w:r w:rsidRPr="00FA5C94">
              <w:rPr>
                <w:rFonts w:ascii="Times New Roman" w:hAnsi="Times New Roman" w:cs="Times New Roman"/>
                <w:sz w:val="20"/>
                <w:szCs w:val="20"/>
              </w:rPr>
              <w:t>Decisão: O Tribunal, por unanimidade, reputou constitucional a</w:t>
            </w:r>
          </w:p>
          <w:p w14:paraId="5FB5513F" w14:textId="77777777" w:rsidR="00FA5C94" w:rsidRPr="00FA5C94" w:rsidRDefault="00FA5C94" w:rsidP="00FA5C94">
            <w:pPr>
              <w:spacing w:line="360" w:lineRule="auto"/>
              <w:jc w:val="both"/>
              <w:rPr>
                <w:rFonts w:ascii="Times New Roman" w:hAnsi="Times New Roman" w:cs="Times New Roman"/>
                <w:sz w:val="20"/>
                <w:szCs w:val="20"/>
              </w:rPr>
            </w:pPr>
            <w:r w:rsidRPr="00FA5C94">
              <w:rPr>
                <w:rFonts w:ascii="Times New Roman" w:hAnsi="Times New Roman" w:cs="Times New Roman"/>
                <w:sz w:val="20"/>
                <w:szCs w:val="20"/>
              </w:rPr>
              <w:t>questão. O Tribunal, por unanimidade, reconheceu a existência de</w:t>
            </w:r>
          </w:p>
          <w:p w14:paraId="49FAB541" w14:textId="77777777" w:rsidR="004F1021" w:rsidRPr="00AB287D" w:rsidRDefault="00FA5C94" w:rsidP="00FA5C94">
            <w:pPr>
              <w:spacing w:line="360" w:lineRule="auto"/>
              <w:jc w:val="both"/>
              <w:rPr>
                <w:rFonts w:ascii="Times New Roman" w:hAnsi="Times New Roman" w:cs="Times New Roman"/>
                <w:sz w:val="20"/>
                <w:szCs w:val="20"/>
              </w:rPr>
            </w:pPr>
            <w:r w:rsidRPr="00FA5C94">
              <w:rPr>
                <w:rFonts w:ascii="Times New Roman" w:hAnsi="Times New Roman" w:cs="Times New Roman"/>
                <w:sz w:val="20"/>
                <w:szCs w:val="20"/>
              </w:rPr>
              <w:t>repercussão geral da questão constitucional suscitada.</w:t>
            </w:r>
          </w:p>
        </w:tc>
        <w:tc>
          <w:tcPr>
            <w:tcW w:w="2832" w:type="dxa"/>
          </w:tcPr>
          <w:p w14:paraId="32085083" w14:textId="77777777" w:rsidR="004F1021" w:rsidRPr="00AB287D" w:rsidRDefault="00FA5C94" w:rsidP="00AB287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Aguardando julgamento </w:t>
            </w:r>
          </w:p>
        </w:tc>
      </w:tr>
      <w:tr w:rsidR="004F1021" w:rsidRPr="00AB287D" w14:paraId="688B544F" w14:textId="77777777" w:rsidTr="004F1021">
        <w:tc>
          <w:tcPr>
            <w:tcW w:w="1271" w:type="dxa"/>
          </w:tcPr>
          <w:p w14:paraId="6113CB8A" w14:textId="77777777" w:rsidR="004F1021" w:rsidRPr="00AB287D" w:rsidRDefault="004F1021" w:rsidP="00AB287D">
            <w:pPr>
              <w:spacing w:line="360" w:lineRule="auto"/>
              <w:jc w:val="both"/>
              <w:rPr>
                <w:rFonts w:ascii="Times New Roman" w:hAnsi="Times New Roman" w:cs="Times New Roman"/>
                <w:sz w:val="20"/>
                <w:szCs w:val="20"/>
              </w:rPr>
            </w:pPr>
          </w:p>
        </w:tc>
        <w:tc>
          <w:tcPr>
            <w:tcW w:w="4391" w:type="dxa"/>
          </w:tcPr>
          <w:p w14:paraId="4F74605F" w14:textId="77777777" w:rsidR="004F1021" w:rsidRPr="00AB287D" w:rsidRDefault="004F1021" w:rsidP="00AB287D">
            <w:pPr>
              <w:spacing w:line="360" w:lineRule="auto"/>
              <w:jc w:val="both"/>
              <w:rPr>
                <w:rFonts w:ascii="Times New Roman" w:hAnsi="Times New Roman" w:cs="Times New Roman"/>
                <w:sz w:val="20"/>
                <w:szCs w:val="20"/>
              </w:rPr>
            </w:pPr>
          </w:p>
        </w:tc>
        <w:tc>
          <w:tcPr>
            <w:tcW w:w="2832" w:type="dxa"/>
          </w:tcPr>
          <w:p w14:paraId="3EA2044A" w14:textId="77777777" w:rsidR="004F1021" w:rsidRPr="00AB287D" w:rsidRDefault="004F1021" w:rsidP="00AB287D">
            <w:pPr>
              <w:spacing w:line="360" w:lineRule="auto"/>
              <w:jc w:val="both"/>
              <w:rPr>
                <w:rFonts w:ascii="Times New Roman" w:hAnsi="Times New Roman" w:cs="Times New Roman"/>
                <w:sz w:val="20"/>
                <w:szCs w:val="20"/>
              </w:rPr>
            </w:pPr>
          </w:p>
        </w:tc>
      </w:tr>
      <w:tr w:rsidR="004F1021" w:rsidRPr="00AB287D" w14:paraId="2FAFBAED" w14:textId="77777777" w:rsidTr="004F1021">
        <w:tc>
          <w:tcPr>
            <w:tcW w:w="1271" w:type="dxa"/>
          </w:tcPr>
          <w:p w14:paraId="442E5B34" w14:textId="77777777" w:rsidR="004F1021" w:rsidRPr="00AB287D" w:rsidRDefault="004F1021" w:rsidP="00AB287D">
            <w:pPr>
              <w:spacing w:line="360" w:lineRule="auto"/>
              <w:jc w:val="both"/>
              <w:rPr>
                <w:rFonts w:ascii="Times New Roman" w:hAnsi="Times New Roman" w:cs="Times New Roman"/>
                <w:sz w:val="20"/>
                <w:szCs w:val="20"/>
              </w:rPr>
            </w:pPr>
          </w:p>
        </w:tc>
        <w:tc>
          <w:tcPr>
            <w:tcW w:w="4391" w:type="dxa"/>
          </w:tcPr>
          <w:p w14:paraId="416DA113" w14:textId="77777777" w:rsidR="004F1021" w:rsidRPr="00AB287D" w:rsidRDefault="004F1021" w:rsidP="00AB287D">
            <w:pPr>
              <w:spacing w:line="360" w:lineRule="auto"/>
              <w:jc w:val="both"/>
              <w:rPr>
                <w:rFonts w:ascii="Times New Roman" w:hAnsi="Times New Roman" w:cs="Times New Roman"/>
                <w:sz w:val="20"/>
                <w:szCs w:val="20"/>
              </w:rPr>
            </w:pPr>
          </w:p>
        </w:tc>
        <w:tc>
          <w:tcPr>
            <w:tcW w:w="2832" w:type="dxa"/>
          </w:tcPr>
          <w:p w14:paraId="25C91ECF" w14:textId="77777777" w:rsidR="004F1021" w:rsidRPr="00AB287D" w:rsidRDefault="004F1021" w:rsidP="00AB287D">
            <w:pPr>
              <w:spacing w:line="360" w:lineRule="auto"/>
              <w:jc w:val="both"/>
              <w:rPr>
                <w:rFonts w:ascii="Times New Roman" w:hAnsi="Times New Roman" w:cs="Times New Roman"/>
                <w:sz w:val="20"/>
                <w:szCs w:val="20"/>
              </w:rPr>
            </w:pPr>
          </w:p>
        </w:tc>
      </w:tr>
    </w:tbl>
    <w:p w14:paraId="03A2D3C5" w14:textId="77777777" w:rsidR="00465E09" w:rsidRPr="00AB287D" w:rsidRDefault="005D5533" w:rsidP="00AB287D">
      <w:pPr>
        <w:spacing w:after="0" w:line="360" w:lineRule="auto"/>
        <w:jc w:val="both"/>
        <w:rPr>
          <w:rFonts w:ascii="Times New Roman" w:hAnsi="Times New Roman" w:cs="Times New Roman"/>
          <w:sz w:val="20"/>
          <w:szCs w:val="20"/>
        </w:rPr>
      </w:pPr>
    </w:p>
    <w:p w14:paraId="18A2CC7D" w14:textId="77777777" w:rsidR="004F1021" w:rsidRPr="00AB287D" w:rsidRDefault="004F1021" w:rsidP="00AB287D">
      <w:pPr>
        <w:spacing w:after="0" w:line="360" w:lineRule="auto"/>
        <w:jc w:val="both"/>
        <w:rPr>
          <w:rFonts w:ascii="Times New Roman" w:hAnsi="Times New Roman" w:cs="Times New Roman"/>
          <w:sz w:val="20"/>
          <w:szCs w:val="20"/>
        </w:rPr>
      </w:pPr>
    </w:p>
    <w:p w14:paraId="388B996C" w14:textId="77777777" w:rsidR="004F1021" w:rsidRPr="00AB287D" w:rsidRDefault="004F1021" w:rsidP="00AB287D">
      <w:pPr>
        <w:spacing w:after="0" w:line="360" w:lineRule="auto"/>
        <w:jc w:val="both"/>
        <w:rPr>
          <w:rFonts w:ascii="Times New Roman" w:hAnsi="Times New Roman" w:cs="Times New Roman"/>
          <w:sz w:val="20"/>
          <w:szCs w:val="20"/>
        </w:rPr>
      </w:pPr>
    </w:p>
    <w:p w14:paraId="5E899F0C" w14:textId="77777777" w:rsidR="004F1021" w:rsidRPr="00AB287D" w:rsidRDefault="004F1021" w:rsidP="00AB287D">
      <w:pPr>
        <w:spacing w:after="0" w:line="360" w:lineRule="auto"/>
        <w:jc w:val="both"/>
        <w:rPr>
          <w:rFonts w:ascii="Times New Roman" w:hAnsi="Times New Roman" w:cs="Times New Roman"/>
          <w:sz w:val="20"/>
          <w:szCs w:val="20"/>
        </w:rPr>
      </w:pPr>
    </w:p>
    <w:p w14:paraId="60A76EE4" w14:textId="77777777" w:rsidR="004F1021" w:rsidRPr="00AB287D" w:rsidRDefault="004F1021" w:rsidP="00AB287D">
      <w:pPr>
        <w:spacing w:after="0" w:line="360" w:lineRule="auto"/>
        <w:jc w:val="both"/>
        <w:rPr>
          <w:rFonts w:ascii="Times New Roman" w:hAnsi="Times New Roman" w:cs="Times New Roman"/>
          <w:sz w:val="20"/>
          <w:szCs w:val="20"/>
        </w:rPr>
      </w:pPr>
      <w:r w:rsidRPr="00AB287D">
        <w:rPr>
          <w:rFonts w:ascii="Times New Roman" w:hAnsi="Times New Roman" w:cs="Times New Roman"/>
          <w:sz w:val="20"/>
          <w:szCs w:val="20"/>
        </w:rPr>
        <w:t>TEMAS STJ</w:t>
      </w:r>
    </w:p>
    <w:p w14:paraId="12561160" w14:textId="77777777" w:rsidR="004F1021" w:rsidRPr="00AB287D" w:rsidRDefault="004F1021" w:rsidP="00AB287D">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1271"/>
        <w:gridCol w:w="4391"/>
        <w:gridCol w:w="2832"/>
      </w:tblGrid>
      <w:tr w:rsidR="004F1021" w:rsidRPr="00AB287D" w14:paraId="73662E21" w14:textId="77777777" w:rsidTr="003C35CC">
        <w:tc>
          <w:tcPr>
            <w:tcW w:w="1271" w:type="dxa"/>
          </w:tcPr>
          <w:p w14:paraId="0AE53C9C" w14:textId="77777777" w:rsidR="004F1021" w:rsidRPr="00AB287D" w:rsidRDefault="004F1021"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TEMA 995</w:t>
            </w:r>
          </w:p>
        </w:tc>
        <w:tc>
          <w:tcPr>
            <w:tcW w:w="4391" w:type="dxa"/>
          </w:tcPr>
          <w:p w14:paraId="1752F102" w14:textId="77777777" w:rsidR="004F1021" w:rsidRPr="00AB287D" w:rsidRDefault="004F1021"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color w:val="424F54"/>
                <w:sz w:val="20"/>
                <w:szCs w:val="20"/>
                <w:highlight w:val="yellow"/>
                <w:shd w:val="clear" w:color="auto" w:fill="FFFFFF"/>
              </w:rPr>
              <w:t>Possibilidade de se considerar o tempo de contribuição posterior ao ajuizamento da ação, reafirmando-se a data de entrada do requerimento-DER- para o momento de implementação dos requisitos necessários à concessão de benefício previdenciário: (i) aplicação do artigo 493 do CPC/2015 (artigo 462 do CPC/1973); (</w:t>
            </w:r>
            <w:proofErr w:type="spellStart"/>
            <w:r w:rsidRPr="00AB287D">
              <w:rPr>
                <w:rFonts w:ascii="Times New Roman" w:hAnsi="Times New Roman" w:cs="Times New Roman"/>
                <w:color w:val="424F54"/>
                <w:sz w:val="20"/>
                <w:szCs w:val="20"/>
                <w:highlight w:val="yellow"/>
                <w:shd w:val="clear" w:color="auto" w:fill="FFFFFF"/>
              </w:rPr>
              <w:t>ii</w:t>
            </w:r>
            <w:proofErr w:type="spellEnd"/>
            <w:r w:rsidRPr="00AB287D">
              <w:rPr>
                <w:rFonts w:ascii="Times New Roman" w:hAnsi="Times New Roman" w:cs="Times New Roman"/>
                <w:color w:val="424F54"/>
                <w:sz w:val="20"/>
                <w:szCs w:val="20"/>
                <w:highlight w:val="yellow"/>
                <w:shd w:val="clear" w:color="auto" w:fill="FFFFFF"/>
              </w:rPr>
              <w:t>) delimitação do momento processual oportuno para se requerer a reafirmação da DER, bem assim para apresentar provas ou requerer a sua produção.</w:t>
            </w:r>
          </w:p>
        </w:tc>
        <w:tc>
          <w:tcPr>
            <w:tcW w:w="2832" w:type="dxa"/>
          </w:tcPr>
          <w:p w14:paraId="63F4A660" w14:textId="77777777" w:rsidR="00ED20DF" w:rsidRPr="00AB287D" w:rsidRDefault="00ED20DF" w:rsidP="00AB287D">
            <w:pPr>
              <w:spacing w:line="360" w:lineRule="auto"/>
              <w:jc w:val="both"/>
              <w:rPr>
                <w:rFonts w:ascii="Times New Roman" w:hAnsi="Times New Roman" w:cs="Times New Roman"/>
                <w:color w:val="424F54"/>
                <w:sz w:val="20"/>
                <w:szCs w:val="20"/>
                <w:highlight w:val="yellow"/>
                <w:shd w:val="clear" w:color="auto" w:fill="FFFFFF"/>
              </w:rPr>
            </w:pPr>
            <w:r w:rsidRPr="00AB287D">
              <w:rPr>
                <w:rFonts w:ascii="Times New Roman" w:hAnsi="Times New Roman" w:cs="Times New Roman"/>
                <w:color w:val="424F54"/>
                <w:sz w:val="20"/>
                <w:szCs w:val="20"/>
                <w:highlight w:val="yellow"/>
                <w:shd w:val="clear" w:color="auto" w:fill="FFFFFF"/>
              </w:rPr>
              <w:t>Trânsito em julgado em 29/10/2020</w:t>
            </w:r>
          </w:p>
          <w:p w14:paraId="3B9FAA1C" w14:textId="77777777" w:rsidR="00ED20DF" w:rsidRPr="00AB287D" w:rsidRDefault="00ED20DF" w:rsidP="00AB287D">
            <w:pPr>
              <w:spacing w:line="360" w:lineRule="auto"/>
              <w:jc w:val="both"/>
              <w:rPr>
                <w:rFonts w:ascii="Times New Roman" w:hAnsi="Times New Roman" w:cs="Times New Roman"/>
                <w:color w:val="424F54"/>
                <w:sz w:val="20"/>
                <w:szCs w:val="20"/>
                <w:highlight w:val="yellow"/>
                <w:shd w:val="clear" w:color="auto" w:fill="FFFFFF"/>
              </w:rPr>
            </w:pPr>
          </w:p>
          <w:p w14:paraId="774DC9F6" w14:textId="77777777" w:rsidR="00ED20DF" w:rsidRPr="00AB287D" w:rsidRDefault="00ED20DF" w:rsidP="00AB287D">
            <w:pPr>
              <w:spacing w:line="360" w:lineRule="auto"/>
              <w:jc w:val="both"/>
              <w:rPr>
                <w:rFonts w:ascii="Times New Roman" w:hAnsi="Times New Roman" w:cs="Times New Roman"/>
                <w:color w:val="424F54"/>
                <w:sz w:val="20"/>
                <w:szCs w:val="20"/>
                <w:highlight w:val="yellow"/>
                <w:shd w:val="clear" w:color="auto" w:fill="FFFFFF"/>
              </w:rPr>
            </w:pPr>
          </w:p>
          <w:p w14:paraId="7E49E1BE" w14:textId="77777777" w:rsidR="004F1021" w:rsidRPr="00AB287D" w:rsidRDefault="004F1021"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highlight w:val="yellow"/>
                <w:shd w:val="clear" w:color="auto" w:fill="FFFFFF"/>
              </w:rPr>
              <w:t xml:space="preserve">É possível a reafirmação da DER (Data de Entrada do Requerimento) para o momento em que implementados os requisitos para a concessão do benefício, mesmo que isso se dê no interstício entre o ajuizamento da ação e a entrega da prestação jurisdicional nas </w:t>
            </w:r>
            <w:r w:rsidRPr="00AB287D">
              <w:rPr>
                <w:rFonts w:ascii="Times New Roman" w:hAnsi="Times New Roman" w:cs="Times New Roman"/>
                <w:color w:val="424F54"/>
                <w:sz w:val="20"/>
                <w:szCs w:val="20"/>
                <w:highlight w:val="yellow"/>
                <w:shd w:val="clear" w:color="auto" w:fill="FFFFFF"/>
              </w:rPr>
              <w:lastRenderedPageBreak/>
              <w:t xml:space="preserve">instâncias ordinárias, nos termos dos </w:t>
            </w:r>
            <w:proofErr w:type="spellStart"/>
            <w:r w:rsidRPr="00AB287D">
              <w:rPr>
                <w:rFonts w:ascii="Times New Roman" w:hAnsi="Times New Roman" w:cs="Times New Roman"/>
                <w:color w:val="424F54"/>
                <w:sz w:val="20"/>
                <w:szCs w:val="20"/>
                <w:highlight w:val="yellow"/>
                <w:shd w:val="clear" w:color="auto" w:fill="FFFFFF"/>
              </w:rPr>
              <w:t>arts</w:t>
            </w:r>
            <w:proofErr w:type="spellEnd"/>
            <w:r w:rsidRPr="00AB287D">
              <w:rPr>
                <w:rFonts w:ascii="Times New Roman" w:hAnsi="Times New Roman" w:cs="Times New Roman"/>
                <w:color w:val="424F54"/>
                <w:sz w:val="20"/>
                <w:szCs w:val="20"/>
                <w:highlight w:val="yellow"/>
                <w:shd w:val="clear" w:color="auto" w:fill="FFFFFF"/>
              </w:rPr>
              <w:t>. 493 e 933 do CPC/2015, observada a causa de pedir.</w:t>
            </w:r>
          </w:p>
        </w:tc>
      </w:tr>
      <w:tr w:rsidR="004F1021" w:rsidRPr="00AB287D" w14:paraId="1FD25170" w14:textId="77777777" w:rsidTr="003C35CC">
        <w:tc>
          <w:tcPr>
            <w:tcW w:w="1271" w:type="dxa"/>
          </w:tcPr>
          <w:p w14:paraId="3204AEC9" w14:textId="77777777" w:rsidR="004F1021" w:rsidRPr="00AB287D" w:rsidRDefault="00B70330"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lastRenderedPageBreak/>
              <w:t>TEMA 692</w:t>
            </w:r>
          </w:p>
        </w:tc>
        <w:tc>
          <w:tcPr>
            <w:tcW w:w="4391" w:type="dxa"/>
          </w:tcPr>
          <w:p w14:paraId="78B2262A" w14:textId="77777777" w:rsidR="004F1021" w:rsidRPr="00AB287D" w:rsidRDefault="00B70330"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shd w:val="clear" w:color="auto" w:fill="FFFFFF"/>
              </w:rPr>
              <w:t>A reforma da decisão que antecipa os efeitos da tutela final obriga o autor da ação a devolver os valores dos benefícios previdenciários ou assistenciais recebidos, o que pode ser feito por meio de desconto em valor que não exceda 30% (trinta por cento) da importância de eventual benefício que ainda lhe estiver sendo pago.</w:t>
            </w:r>
          </w:p>
        </w:tc>
        <w:tc>
          <w:tcPr>
            <w:tcW w:w="2832" w:type="dxa"/>
          </w:tcPr>
          <w:p w14:paraId="656F0E98" w14:textId="77777777" w:rsidR="004F1021" w:rsidRPr="00AB287D" w:rsidRDefault="00B70330"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JULGADO EM 11/05/2022</w:t>
            </w:r>
            <w:r w:rsidR="00ED20DF" w:rsidRPr="00AB287D">
              <w:rPr>
                <w:rFonts w:ascii="Times New Roman" w:hAnsi="Times New Roman" w:cs="Times New Roman"/>
                <w:sz w:val="20"/>
                <w:szCs w:val="20"/>
              </w:rPr>
              <w:t xml:space="preserve"> </w:t>
            </w:r>
          </w:p>
          <w:p w14:paraId="708FC870" w14:textId="77777777" w:rsidR="00ED20DF" w:rsidRPr="00AB287D" w:rsidRDefault="00ED20DF" w:rsidP="00AB287D">
            <w:pPr>
              <w:spacing w:line="360" w:lineRule="auto"/>
              <w:jc w:val="both"/>
              <w:rPr>
                <w:rFonts w:ascii="Times New Roman" w:hAnsi="Times New Roman" w:cs="Times New Roman"/>
                <w:sz w:val="20"/>
                <w:szCs w:val="20"/>
              </w:rPr>
            </w:pPr>
          </w:p>
          <w:p w14:paraId="57096E1E" w14:textId="77777777" w:rsidR="00ED20DF" w:rsidRPr="00AB287D" w:rsidRDefault="00ED20DF"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 xml:space="preserve">Aguardando trânsito em julgado </w:t>
            </w:r>
          </w:p>
        </w:tc>
      </w:tr>
      <w:tr w:rsidR="004F1021" w:rsidRPr="00AB287D" w14:paraId="7A752E21" w14:textId="77777777" w:rsidTr="003C35CC">
        <w:tc>
          <w:tcPr>
            <w:tcW w:w="1271" w:type="dxa"/>
          </w:tcPr>
          <w:p w14:paraId="628AF5AD" w14:textId="77777777" w:rsidR="004F1021" w:rsidRPr="00AB287D" w:rsidRDefault="00B70330"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TEMA 1057</w:t>
            </w:r>
          </w:p>
        </w:tc>
        <w:tc>
          <w:tcPr>
            <w:tcW w:w="4391" w:type="dxa"/>
          </w:tcPr>
          <w:p w14:paraId="07FFCC56" w14:textId="77777777" w:rsidR="004F1021" w:rsidRPr="00AB287D" w:rsidRDefault="004F1021" w:rsidP="00AB287D">
            <w:pPr>
              <w:spacing w:line="360" w:lineRule="auto"/>
              <w:jc w:val="both"/>
              <w:rPr>
                <w:rFonts w:ascii="Times New Roman" w:hAnsi="Times New Roman" w:cs="Times New Roman"/>
                <w:sz w:val="20"/>
                <w:szCs w:val="20"/>
                <w:highlight w:val="yellow"/>
              </w:rPr>
            </w:pPr>
          </w:p>
        </w:tc>
        <w:tc>
          <w:tcPr>
            <w:tcW w:w="2832" w:type="dxa"/>
          </w:tcPr>
          <w:p w14:paraId="7B4EB496" w14:textId="77777777" w:rsidR="004F1021" w:rsidRPr="00AB287D" w:rsidRDefault="00B70330"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 xml:space="preserve">JULGADO </w:t>
            </w:r>
            <w:r w:rsidR="00ED20DF" w:rsidRPr="00AB287D">
              <w:rPr>
                <w:rFonts w:ascii="Times New Roman" w:hAnsi="Times New Roman" w:cs="Times New Roman"/>
                <w:sz w:val="20"/>
                <w:szCs w:val="20"/>
                <w:highlight w:val="yellow"/>
              </w:rPr>
              <w:t>– trânsito em julgado em 04/03/2022</w:t>
            </w:r>
          </w:p>
          <w:p w14:paraId="1572EB49" w14:textId="77777777" w:rsidR="00B70330" w:rsidRPr="00AB287D" w:rsidRDefault="00B70330" w:rsidP="00AB287D">
            <w:pPr>
              <w:spacing w:line="360" w:lineRule="auto"/>
              <w:jc w:val="both"/>
              <w:rPr>
                <w:rFonts w:ascii="Times New Roman" w:hAnsi="Times New Roman" w:cs="Times New Roman"/>
                <w:sz w:val="20"/>
                <w:szCs w:val="20"/>
                <w:highlight w:val="yellow"/>
              </w:rPr>
            </w:pPr>
          </w:p>
          <w:p w14:paraId="74B90EAE" w14:textId="77777777" w:rsidR="00B70330" w:rsidRPr="00AB287D" w:rsidRDefault="00B70330"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858585"/>
                <w:sz w:val="20"/>
                <w:szCs w:val="20"/>
                <w:highlight w:val="yellow"/>
                <w:shd w:val="clear" w:color="auto" w:fill="FFFFFF"/>
              </w:rPr>
              <w:t>Legitimidade dos “dependentes habilitados à pensão por morte, e, na falta deles, os sucessores civilmente definidos, </w:t>
            </w:r>
            <w:r w:rsidRPr="00AB287D">
              <w:rPr>
                <w:rStyle w:val="Forte"/>
                <w:rFonts w:ascii="Times New Roman" w:hAnsi="Times New Roman" w:cs="Times New Roman"/>
                <w:color w:val="858585"/>
                <w:sz w:val="20"/>
                <w:szCs w:val="20"/>
                <w:highlight w:val="yellow"/>
                <w:shd w:val="clear" w:color="auto" w:fill="FFFFFF"/>
              </w:rPr>
              <w:t>para figurarem no polo ativo de ação previdenciária revisional</w:t>
            </w:r>
            <w:r w:rsidRPr="00AB287D">
              <w:rPr>
                <w:rFonts w:ascii="Times New Roman" w:hAnsi="Times New Roman" w:cs="Times New Roman"/>
                <w:color w:val="858585"/>
                <w:sz w:val="20"/>
                <w:szCs w:val="20"/>
                <w:highlight w:val="yellow"/>
                <w:shd w:val="clear" w:color="auto" w:fill="FFFFFF"/>
              </w:rPr>
              <w:t>, ajuizada com o escopo de revisar, conforme o caso, a aposentadoria do de cujus (benefício originário) e/ou a pensão por morte dela decorrente (benefício derivado), bem como de perceberem as diferenças pecuniárias resultantes da readequação de ambos os benefícios, independentemente de iniciativa do titular em vida, e observada eventual ocorrência de decadência e de prescrição”.</w:t>
            </w:r>
          </w:p>
        </w:tc>
      </w:tr>
      <w:tr w:rsidR="00B70330" w:rsidRPr="00AB287D" w14:paraId="33D12AB7" w14:textId="77777777" w:rsidTr="003C35CC">
        <w:tc>
          <w:tcPr>
            <w:tcW w:w="1271" w:type="dxa"/>
          </w:tcPr>
          <w:p w14:paraId="7C77B12E" w14:textId="77777777" w:rsidR="00B70330" w:rsidRPr="00AB287D" w:rsidRDefault="00B70330"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TEMA 1050</w:t>
            </w:r>
          </w:p>
        </w:tc>
        <w:tc>
          <w:tcPr>
            <w:tcW w:w="4391" w:type="dxa"/>
          </w:tcPr>
          <w:p w14:paraId="16D52208" w14:textId="77777777" w:rsidR="00B70330" w:rsidRPr="00AB287D" w:rsidRDefault="00ED20DF"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color w:val="424F54"/>
                <w:sz w:val="20"/>
                <w:szCs w:val="20"/>
                <w:highlight w:val="yellow"/>
                <w:shd w:val="clear" w:color="auto" w:fill="FFFFFF"/>
              </w:rPr>
              <w:t>Possibilidade de computar as parcelas pagas a título de benefício previdenciário na via administrativa no curso da ação na base de cálculo para fixação de honorários advocatícios, além dos valores decorrentes de condenação judicial</w:t>
            </w:r>
          </w:p>
        </w:tc>
        <w:tc>
          <w:tcPr>
            <w:tcW w:w="2832" w:type="dxa"/>
          </w:tcPr>
          <w:p w14:paraId="09874B2D" w14:textId="77777777" w:rsidR="00ED20DF" w:rsidRPr="00AB287D" w:rsidRDefault="00ED20DF"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Transito em julgado em 30/11/2021</w:t>
            </w:r>
          </w:p>
          <w:p w14:paraId="265BAEA7" w14:textId="77777777" w:rsidR="00ED20DF" w:rsidRPr="00AB287D" w:rsidRDefault="00ED20DF" w:rsidP="00AB287D">
            <w:pPr>
              <w:spacing w:line="360" w:lineRule="auto"/>
              <w:jc w:val="both"/>
              <w:rPr>
                <w:rFonts w:ascii="Times New Roman" w:hAnsi="Times New Roman" w:cs="Times New Roman"/>
                <w:sz w:val="20"/>
                <w:szCs w:val="20"/>
                <w:highlight w:val="yellow"/>
              </w:rPr>
            </w:pPr>
          </w:p>
          <w:p w14:paraId="26480414" w14:textId="77777777" w:rsidR="00B70330" w:rsidRPr="00AB287D" w:rsidRDefault="00ED20DF"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highlight w:val="yellow"/>
                <w:shd w:val="clear" w:color="auto" w:fill="FFFFFF"/>
              </w:rPr>
              <w:t xml:space="preserve">O eventual pagamento de benefício previdenciário na via administrativa, seja ele total ou parcial, após a citação válida, não tem o condão de alterar a </w:t>
            </w:r>
            <w:r w:rsidRPr="00AB287D">
              <w:rPr>
                <w:rFonts w:ascii="Times New Roman" w:hAnsi="Times New Roman" w:cs="Times New Roman"/>
                <w:color w:val="424F54"/>
                <w:sz w:val="20"/>
                <w:szCs w:val="20"/>
                <w:highlight w:val="yellow"/>
                <w:shd w:val="clear" w:color="auto" w:fill="FFFFFF"/>
              </w:rPr>
              <w:lastRenderedPageBreak/>
              <w:t>base de cálculo para os honorários advocatícios fixados na ação de conhecimento, que será composta pela totalidade dos valores devidos.</w:t>
            </w:r>
          </w:p>
        </w:tc>
      </w:tr>
      <w:tr w:rsidR="004F1021" w:rsidRPr="00AB287D" w14:paraId="35549978" w14:textId="77777777" w:rsidTr="003C35CC">
        <w:tc>
          <w:tcPr>
            <w:tcW w:w="1271" w:type="dxa"/>
          </w:tcPr>
          <w:p w14:paraId="7A6071D6" w14:textId="77777777" w:rsidR="004F1021" w:rsidRPr="00AB287D" w:rsidRDefault="00ED20DF"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lastRenderedPageBreak/>
              <w:t>TEMA 1018</w:t>
            </w:r>
          </w:p>
        </w:tc>
        <w:tc>
          <w:tcPr>
            <w:tcW w:w="4391" w:type="dxa"/>
          </w:tcPr>
          <w:p w14:paraId="60FC2A42" w14:textId="77777777" w:rsidR="004F1021" w:rsidRPr="00AB287D" w:rsidRDefault="00ED20DF"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shd w:val="clear" w:color="auto" w:fill="FFFFFF"/>
              </w:rPr>
              <w:t>Possibilidade de, em fase de Cumprimento de Sentença, o segurado do Regime Geral de Previdência Social receber parcelas pretéritas de aposentadoria concedida judicialmente até a data inicial de aposentadoria concedida administrativamente pelo INSS enquanto pendente a mesma ação judicial, com implantação administrativa definitiva dessa última por ser mais vantajosa, sob o enfoque do artigo 18, § 2º, da Lei 8.213/1991.</w:t>
            </w:r>
          </w:p>
        </w:tc>
        <w:tc>
          <w:tcPr>
            <w:tcW w:w="2832" w:type="dxa"/>
          </w:tcPr>
          <w:p w14:paraId="44EE0835" w14:textId="77777777" w:rsidR="00ED20DF" w:rsidRPr="00AB287D" w:rsidRDefault="00ED20DF" w:rsidP="00AB287D">
            <w:pPr>
              <w:spacing w:line="360" w:lineRule="auto"/>
              <w:jc w:val="both"/>
              <w:rPr>
                <w:rFonts w:ascii="Times New Roman" w:hAnsi="Times New Roman" w:cs="Times New Roman"/>
                <w:color w:val="424F54"/>
                <w:sz w:val="20"/>
                <w:szCs w:val="20"/>
                <w:shd w:val="clear" w:color="auto" w:fill="FFFFFF"/>
              </w:rPr>
            </w:pPr>
            <w:r w:rsidRPr="00AB287D">
              <w:rPr>
                <w:rFonts w:ascii="Times New Roman" w:hAnsi="Times New Roman" w:cs="Times New Roman"/>
                <w:color w:val="424F54"/>
                <w:sz w:val="20"/>
                <w:szCs w:val="20"/>
                <w:shd w:val="clear" w:color="auto" w:fill="FFFFFF"/>
              </w:rPr>
              <w:t xml:space="preserve">Julgado em 08/06/2022 – ainda sem trânsito </w:t>
            </w:r>
          </w:p>
          <w:p w14:paraId="7ABDB81C" w14:textId="77777777" w:rsidR="00ED20DF" w:rsidRPr="00AB287D" w:rsidRDefault="00ED20DF" w:rsidP="00AB287D">
            <w:pPr>
              <w:spacing w:line="360" w:lineRule="auto"/>
              <w:jc w:val="both"/>
              <w:rPr>
                <w:rFonts w:ascii="Times New Roman" w:hAnsi="Times New Roman" w:cs="Times New Roman"/>
                <w:color w:val="424F54"/>
                <w:sz w:val="20"/>
                <w:szCs w:val="20"/>
                <w:shd w:val="clear" w:color="auto" w:fill="FFFFFF"/>
              </w:rPr>
            </w:pPr>
          </w:p>
          <w:p w14:paraId="5B4D08B9" w14:textId="77777777" w:rsidR="004F1021" w:rsidRPr="00AB287D" w:rsidRDefault="00ED20DF"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shd w:val="clear" w:color="auto" w:fill="FFFFFF"/>
              </w:rPr>
              <w:t>O Segurado tem direito de opção pelo benefício mais vantajoso concedido administrativamente, no curso de ação judicial em que se reconheceu benefício menos vantajoso. Em cumprimento de sentença, o segurado possui o direito à manutenção do benefício previdenciário concedido administrativamente no curso da ação judicial e, concomitantemente, à execução das parcelas do benefício reconhecido na via judicial, limitadas à data de implantação daquele conferido na via administrativa.</w:t>
            </w:r>
          </w:p>
        </w:tc>
      </w:tr>
      <w:tr w:rsidR="004F1021" w:rsidRPr="00AB287D" w14:paraId="36EAC747" w14:textId="77777777" w:rsidTr="003C35CC">
        <w:tc>
          <w:tcPr>
            <w:tcW w:w="1271" w:type="dxa"/>
          </w:tcPr>
          <w:p w14:paraId="09905887" w14:textId="77777777" w:rsidR="004F1021"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TEMA 1070</w:t>
            </w:r>
          </w:p>
        </w:tc>
        <w:tc>
          <w:tcPr>
            <w:tcW w:w="4391" w:type="dxa"/>
          </w:tcPr>
          <w:p w14:paraId="01A0F4E9" w14:textId="77777777" w:rsidR="004F1021"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shd w:val="clear" w:color="auto" w:fill="FFFFFF"/>
              </w:rPr>
              <w:t>Possibilidade, ou não, de sempre se somar as contribuições previdenciárias para integrar o salário-de-contribuição, nos casos de atividades concomitantes (artigo 32 da Lei n. 8.213/91), após o advento da Lei 9.876/99, que extinguiu as escalas de salário-base.</w:t>
            </w:r>
          </w:p>
        </w:tc>
        <w:tc>
          <w:tcPr>
            <w:tcW w:w="2832" w:type="dxa"/>
          </w:tcPr>
          <w:p w14:paraId="16E03529" w14:textId="77777777" w:rsidR="004F1021"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 xml:space="preserve">JULGADO EM 11/05/2022 – SEM TRÂNSITO </w:t>
            </w:r>
          </w:p>
          <w:p w14:paraId="3264274F" w14:textId="77777777" w:rsidR="00FC119B" w:rsidRPr="00AB287D" w:rsidRDefault="00FC119B" w:rsidP="00AB287D">
            <w:pPr>
              <w:spacing w:line="360" w:lineRule="auto"/>
              <w:jc w:val="both"/>
              <w:rPr>
                <w:rFonts w:ascii="Times New Roman" w:hAnsi="Times New Roman" w:cs="Times New Roman"/>
                <w:sz w:val="20"/>
                <w:szCs w:val="20"/>
              </w:rPr>
            </w:pPr>
          </w:p>
          <w:p w14:paraId="4744D6A1" w14:textId="77777777" w:rsidR="00FC119B"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shd w:val="clear" w:color="auto" w:fill="FFFFFF"/>
              </w:rPr>
              <w:t>Após o advento da Lei 9.876/99, e para fins de cálculo do benefício de aposentadoria, no caso do exercício de atividades concomitantes pelo segurado, o salário-de-contribuição deverá ser composto da soma de todas as contribuições previdenciárias por ele vertidas ao sistema, respeitado o teto previdenciário.</w:t>
            </w:r>
          </w:p>
        </w:tc>
      </w:tr>
      <w:tr w:rsidR="00FC119B" w:rsidRPr="00AB287D" w14:paraId="010628B8" w14:textId="77777777" w:rsidTr="003C35CC">
        <w:tc>
          <w:tcPr>
            <w:tcW w:w="1271" w:type="dxa"/>
          </w:tcPr>
          <w:p w14:paraId="67EBB66C" w14:textId="77777777" w:rsidR="00FC119B"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TEMA 1083</w:t>
            </w:r>
          </w:p>
        </w:tc>
        <w:tc>
          <w:tcPr>
            <w:tcW w:w="4391" w:type="dxa"/>
          </w:tcPr>
          <w:p w14:paraId="58C23FF3" w14:textId="77777777" w:rsidR="00FC119B"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shd w:val="clear" w:color="auto" w:fill="FFFFFF"/>
              </w:rPr>
              <w:t xml:space="preserve">Possibilidade de reconhecimento do exercício de atividade sob condições especiais pela exposição ao </w:t>
            </w:r>
            <w:r w:rsidRPr="00AB287D">
              <w:rPr>
                <w:rFonts w:ascii="Times New Roman" w:hAnsi="Times New Roman" w:cs="Times New Roman"/>
                <w:color w:val="424F54"/>
                <w:sz w:val="20"/>
                <w:szCs w:val="20"/>
                <w:shd w:val="clear" w:color="auto" w:fill="FFFFFF"/>
              </w:rPr>
              <w:lastRenderedPageBreak/>
              <w:t>agente ruído, quando constatados diferentes níveis de efeitos sonoros, considerando-se apenas o nível máximo aferido (critério "pico de ruído"), a média aritmética simples ou o Nível de Exposição Normalizado (NEN). (PICO DE RUÍDO)</w:t>
            </w:r>
          </w:p>
        </w:tc>
        <w:tc>
          <w:tcPr>
            <w:tcW w:w="2832" w:type="dxa"/>
          </w:tcPr>
          <w:p w14:paraId="2F1C2AA4" w14:textId="77777777" w:rsidR="00FC119B"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lastRenderedPageBreak/>
              <w:t xml:space="preserve">JULGADO EM 18/11/2021 – SEM TRÂNSITO </w:t>
            </w:r>
          </w:p>
          <w:p w14:paraId="669C957D" w14:textId="77777777" w:rsidR="00FC119B" w:rsidRPr="00AB287D" w:rsidRDefault="00FC119B" w:rsidP="00AB287D">
            <w:pPr>
              <w:spacing w:line="360" w:lineRule="auto"/>
              <w:jc w:val="both"/>
              <w:rPr>
                <w:rFonts w:ascii="Times New Roman" w:hAnsi="Times New Roman" w:cs="Times New Roman"/>
                <w:sz w:val="20"/>
                <w:szCs w:val="20"/>
              </w:rPr>
            </w:pPr>
          </w:p>
          <w:p w14:paraId="201FDA4B" w14:textId="77777777" w:rsidR="00FC119B"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br/>
            </w:r>
            <w:r w:rsidRPr="00AB287D">
              <w:rPr>
                <w:rFonts w:ascii="Times New Roman" w:hAnsi="Times New Roman" w:cs="Times New Roman"/>
                <w:color w:val="424F54"/>
                <w:sz w:val="20"/>
                <w:szCs w:val="20"/>
                <w:shd w:val="clear" w:color="auto" w:fill="FFFFFF"/>
              </w:rPr>
              <w:t>O reconhecimento do exercício de atividade sob condições especiais pela exposição ao agente nocivo ruído, quando constatados diferentes níveis de efeitos sonoros, deve ser aferido por meio do Nível de Exposição Normalizado (NEN). Ausente essa informação, deverá ser adotado como critério o nível máximo de ruído (pico de ruído), desde que perícia técnica judicial comprove a habitualidade e a permanência da exposição ao agente nocivo na produção do bem ou na prestação do serviço.</w:t>
            </w:r>
          </w:p>
        </w:tc>
      </w:tr>
      <w:tr w:rsidR="00FC119B" w:rsidRPr="00AB287D" w14:paraId="1BAF3F07" w14:textId="77777777" w:rsidTr="003C35CC">
        <w:tc>
          <w:tcPr>
            <w:tcW w:w="1271" w:type="dxa"/>
          </w:tcPr>
          <w:p w14:paraId="6454DA88" w14:textId="77777777" w:rsidR="00FC119B" w:rsidRPr="00AB287D" w:rsidRDefault="00FC119B"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lastRenderedPageBreak/>
              <w:t>TEMA 1011</w:t>
            </w:r>
          </w:p>
        </w:tc>
        <w:tc>
          <w:tcPr>
            <w:tcW w:w="4391" w:type="dxa"/>
          </w:tcPr>
          <w:p w14:paraId="26507C62" w14:textId="77777777" w:rsidR="00FC119B" w:rsidRPr="00AB287D" w:rsidRDefault="00FC119B"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color w:val="424F54"/>
                <w:sz w:val="20"/>
                <w:szCs w:val="20"/>
                <w:highlight w:val="yellow"/>
                <w:shd w:val="clear" w:color="auto" w:fill="FFFFFF"/>
              </w:rPr>
              <w:t>Incidência ou não do fator previdenciário no cálculo da renda mensal inicial da aposentadoria por tempo de contribuição de professor, quando a implementação dos requisitos necessários à obtenção do benefício se der após a edição da Lei 9.876/1999.</w:t>
            </w:r>
          </w:p>
        </w:tc>
        <w:tc>
          <w:tcPr>
            <w:tcW w:w="2832" w:type="dxa"/>
          </w:tcPr>
          <w:p w14:paraId="78C08CE5" w14:textId="77777777" w:rsidR="00FC119B" w:rsidRPr="00AB287D" w:rsidRDefault="00FC119B" w:rsidP="00AB287D">
            <w:pPr>
              <w:spacing w:line="360" w:lineRule="auto"/>
              <w:jc w:val="both"/>
              <w:rPr>
                <w:rFonts w:ascii="Times New Roman" w:hAnsi="Times New Roman" w:cs="Times New Roman"/>
                <w:color w:val="424F54"/>
                <w:sz w:val="20"/>
                <w:szCs w:val="20"/>
                <w:highlight w:val="yellow"/>
                <w:shd w:val="clear" w:color="auto" w:fill="FFFFFF"/>
              </w:rPr>
            </w:pPr>
            <w:r w:rsidRPr="00AB287D">
              <w:rPr>
                <w:rFonts w:ascii="Times New Roman" w:hAnsi="Times New Roman" w:cs="Times New Roman"/>
                <w:color w:val="424F54"/>
                <w:sz w:val="20"/>
                <w:szCs w:val="20"/>
                <w:highlight w:val="yellow"/>
                <w:shd w:val="clear" w:color="auto" w:fill="FFFFFF"/>
              </w:rPr>
              <w:t>Trânsito em julgado em 14/05/</w:t>
            </w:r>
            <w:r w:rsidR="00F1231C" w:rsidRPr="00AB287D">
              <w:rPr>
                <w:rFonts w:ascii="Times New Roman" w:hAnsi="Times New Roman" w:cs="Times New Roman"/>
                <w:color w:val="424F54"/>
                <w:sz w:val="20"/>
                <w:szCs w:val="20"/>
                <w:highlight w:val="yellow"/>
                <w:shd w:val="clear" w:color="auto" w:fill="FFFFFF"/>
              </w:rPr>
              <w:t>2021</w:t>
            </w:r>
          </w:p>
          <w:p w14:paraId="0DEA3078" w14:textId="77777777" w:rsidR="00F1231C" w:rsidRPr="00AB287D" w:rsidRDefault="00F1231C" w:rsidP="00AB287D">
            <w:pPr>
              <w:spacing w:line="360" w:lineRule="auto"/>
              <w:jc w:val="both"/>
              <w:rPr>
                <w:rFonts w:ascii="Times New Roman" w:hAnsi="Times New Roman" w:cs="Times New Roman"/>
                <w:color w:val="424F54"/>
                <w:sz w:val="20"/>
                <w:szCs w:val="20"/>
                <w:highlight w:val="yellow"/>
                <w:shd w:val="clear" w:color="auto" w:fill="FFFFFF"/>
              </w:rPr>
            </w:pPr>
          </w:p>
          <w:p w14:paraId="6C52280F" w14:textId="77777777" w:rsidR="00FC119B" w:rsidRPr="00AB287D" w:rsidRDefault="00FC119B" w:rsidP="00AB287D">
            <w:pPr>
              <w:spacing w:line="360" w:lineRule="auto"/>
              <w:jc w:val="both"/>
              <w:rPr>
                <w:rFonts w:ascii="Times New Roman" w:hAnsi="Times New Roman" w:cs="Times New Roman"/>
                <w:color w:val="424F54"/>
                <w:sz w:val="20"/>
                <w:szCs w:val="20"/>
                <w:highlight w:val="yellow"/>
                <w:shd w:val="clear" w:color="auto" w:fill="FFFFFF"/>
              </w:rPr>
            </w:pPr>
          </w:p>
          <w:p w14:paraId="26D7B7B2" w14:textId="77777777" w:rsidR="00FC119B" w:rsidRPr="00AB287D" w:rsidRDefault="00FC119B" w:rsidP="00AB287D">
            <w:pPr>
              <w:spacing w:line="360" w:lineRule="auto"/>
              <w:jc w:val="both"/>
              <w:rPr>
                <w:rFonts w:ascii="Times New Roman" w:hAnsi="Times New Roman" w:cs="Times New Roman"/>
                <w:color w:val="424F54"/>
                <w:sz w:val="20"/>
                <w:szCs w:val="20"/>
                <w:highlight w:val="yellow"/>
                <w:shd w:val="clear" w:color="auto" w:fill="FFFFFF"/>
              </w:rPr>
            </w:pPr>
          </w:p>
          <w:p w14:paraId="3CAEDF09" w14:textId="77777777" w:rsidR="00FC119B" w:rsidRPr="00AB287D" w:rsidRDefault="00FC119B"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highlight w:val="yellow"/>
                <w:shd w:val="clear" w:color="auto" w:fill="FFFFFF"/>
              </w:rPr>
              <w:t>Incide o fator previdenciário no cálculo da renda mensal inicial de aposentadoria por tempo de contribuição de professor vinculado ao Regime Geral de Previdência Social, independente da data de sua concessão, quando a implementação dos requisitos necessários à obtenção do benefício </w:t>
            </w:r>
            <w:r w:rsidRPr="00AB287D">
              <w:rPr>
                <w:rFonts w:ascii="Times New Roman" w:hAnsi="Times New Roman" w:cs="Times New Roman"/>
                <w:b/>
                <w:bCs/>
                <w:color w:val="424F54"/>
                <w:sz w:val="20"/>
                <w:szCs w:val="20"/>
                <w:highlight w:val="yellow"/>
                <w:shd w:val="clear" w:color="auto" w:fill="FFFFFF"/>
              </w:rPr>
              <w:t>se der após o início da vigência da Lei 9.876/1999, ou seja, a partir de 29/11/1999.</w:t>
            </w:r>
          </w:p>
        </w:tc>
      </w:tr>
      <w:tr w:rsidR="00FC119B" w:rsidRPr="00AB287D" w14:paraId="33CE3DFA" w14:textId="77777777" w:rsidTr="003C35CC">
        <w:tc>
          <w:tcPr>
            <w:tcW w:w="1271" w:type="dxa"/>
          </w:tcPr>
          <w:p w14:paraId="2D11B275" w14:textId="77777777" w:rsidR="00FC119B" w:rsidRPr="00AB287D" w:rsidRDefault="00F1231C"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Tema 1031</w:t>
            </w:r>
          </w:p>
        </w:tc>
        <w:tc>
          <w:tcPr>
            <w:tcW w:w="4391" w:type="dxa"/>
          </w:tcPr>
          <w:p w14:paraId="1AF7EDDA" w14:textId="77777777" w:rsidR="00FC119B" w:rsidRPr="00AB287D" w:rsidRDefault="00F1231C" w:rsidP="00AB287D">
            <w:pPr>
              <w:spacing w:line="360" w:lineRule="auto"/>
              <w:jc w:val="both"/>
              <w:rPr>
                <w:rFonts w:ascii="Times New Roman" w:hAnsi="Times New Roman" w:cs="Times New Roman"/>
                <w:sz w:val="20"/>
                <w:szCs w:val="20"/>
              </w:rPr>
            </w:pPr>
            <w:r w:rsidRPr="00AB287D">
              <w:rPr>
                <w:rFonts w:ascii="Times New Roman" w:hAnsi="Times New Roman" w:cs="Times New Roman"/>
                <w:sz w:val="20"/>
                <w:szCs w:val="20"/>
              </w:rPr>
              <w:t xml:space="preserve">Vigilante </w:t>
            </w:r>
          </w:p>
        </w:tc>
        <w:tc>
          <w:tcPr>
            <w:tcW w:w="2832" w:type="dxa"/>
          </w:tcPr>
          <w:p w14:paraId="346C7247" w14:textId="77777777" w:rsidR="00AB287D" w:rsidRDefault="00F1231C" w:rsidP="00AB287D">
            <w:pPr>
              <w:spacing w:line="360" w:lineRule="auto"/>
              <w:jc w:val="both"/>
              <w:rPr>
                <w:rFonts w:ascii="Times New Roman" w:hAnsi="Times New Roman" w:cs="Times New Roman"/>
                <w:color w:val="424F54"/>
                <w:sz w:val="20"/>
                <w:szCs w:val="20"/>
                <w:shd w:val="clear" w:color="auto" w:fill="FFFFFF"/>
              </w:rPr>
            </w:pPr>
            <w:r w:rsidRPr="00AB287D">
              <w:rPr>
                <w:rFonts w:ascii="Times New Roman" w:hAnsi="Times New Roman" w:cs="Times New Roman"/>
                <w:color w:val="424F54"/>
                <w:sz w:val="20"/>
                <w:szCs w:val="20"/>
                <w:shd w:val="clear" w:color="auto" w:fill="FFFFFF"/>
              </w:rPr>
              <w:t>Julgado</w:t>
            </w:r>
            <w:r w:rsidR="00AB287D">
              <w:rPr>
                <w:rFonts w:ascii="Times New Roman" w:hAnsi="Times New Roman" w:cs="Times New Roman"/>
                <w:color w:val="424F54"/>
                <w:sz w:val="20"/>
                <w:szCs w:val="20"/>
                <w:shd w:val="clear" w:color="auto" w:fill="FFFFFF"/>
              </w:rPr>
              <w:t xml:space="preserve"> </w:t>
            </w:r>
          </w:p>
          <w:p w14:paraId="3F68DC78" w14:textId="77777777" w:rsidR="00F1231C" w:rsidRPr="00AB287D" w:rsidRDefault="00AB287D" w:rsidP="00AB287D">
            <w:pPr>
              <w:spacing w:line="360" w:lineRule="auto"/>
              <w:jc w:val="both"/>
              <w:rPr>
                <w:rFonts w:ascii="Times New Roman" w:hAnsi="Times New Roman" w:cs="Times New Roman"/>
                <w:color w:val="424F54"/>
                <w:sz w:val="20"/>
                <w:szCs w:val="20"/>
                <w:shd w:val="clear" w:color="auto" w:fill="FFFFFF"/>
              </w:rPr>
            </w:pPr>
            <w:r>
              <w:rPr>
                <w:rFonts w:ascii="Times New Roman" w:hAnsi="Times New Roman" w:cs="Times New Roman"/>
                <w:color w:val="424F54"/>
                <w:sz w:val="20"/>
                <w:szCs w:val="20"/>
                <w:shd w:val="clear" w:color="auto" w:fill="FFFFFF"/>
              </w:rPr>
              <w:t>Ainda sem trânsito – pendente também de julgamento no STF</w:t>
            </w:r>
            <w:r w:rsidR="00F1231C" w:rsidRPr="00AB287D">
              <w:rPr>
                <w:rFonts w:ascii="Times New Roman" w:hAnsi="Times New Roman" w:cs="Times New Roman"/>
                <w:color w:val="424F54"/>
                <w:sz w:val="20"/>
                <w:szCs w:val="20"/>
                <w:shd w:val="clear" w:color="auto" w:fill="FFFFFF"/>
              </w:rPr>
              <w:t xml:space="preserve"> </w:t>
            </w:r>
          </w:p>
          <w:p w14:paraId="34DEB6CB" w14:textId="77777777" w:rsidR="00F1231C" w:rsidRPr="00AB287D" w:rsidRDefault="00F1231C" w:rsidP="00AB287D">
            <w:pPr>
              <w:spacing w:line="360" w:lineRule="auto"/>
              <w:jc w:val="both"/>
              <w:rPr>
                <w:rFonts w:ascii="Times New Roman" w:hAnsi="Times New Roman" w:cs="Times New Roman"/>
                <w:color w:val="424F54"/>
                <w:sz w:val="20"/>
                <w:szCs w:val="20"/>
                <w:shd w:val="clear" w:color="auto" w:fill="FFFFFF"/>
              </w:rPr>
            </w:pPr>
          </w:p>
          <w:p w14:paraId="5F17635C" w14:textId="77777777" w:rsidR="00F1231C" w:rsidRPr="00AB287D" w:rsidRDefault="00F1231C" w:rsidP="00AB287D">
            <w:pPr>
              <w:spacing w:line="360" w:lineRule="auto"/>
              <w:jc w:val="both"/>
              <w:rPr>
                <w:rFonts w:ascii="Times New Roman" w:hAnsi="Times New Roman" w:cs="Times New Roman"/>
                <w:color w:val="424F54"/>
                <w:sz w:val="20"/>
                <w:szCs w:val="20"/>
                <w:shd w:val="clear" w:color="auto" w:fill="FFFFFF"/>
              </w:rPr>
            </w:pPr>
          </w:p>
          <w:p w14:paraId="1F4BA38E" w14:textId="77777777" w:rsidR="00FC119B" w:rsidRPr="00AB287D" w:rsidRDefault="00F1231C" w:rsidP="00AB287D">
            <w:pPr>
              <w:spacing w:line="360" w:lineRule="auto"/>
              <w:jc w:val="both"/>
              <w:rPr>
                <w:rFonts w:ascii="Times New Roman" w:hAnsi="Times New Roman" w:cs="Times New Roman"/>
                <w:sz w:val="20"/>
                <w:szCs w:val="20"/>
              </w:rPr>
            </w:pPr>
            <w:r w:rsidRPr="00AB287D">
              <w:rPr>
                <w:rFonts w:ascii="Times New Roman" w:hAnsi="Times New Roman" w:cs="Times New Roman"/>
                <w:color w:val="424F54"/>
                <w:sz w:val="20"/>
                <w:szCs w:val="20"/>
                <w:shd w:val="clear" w:color="auto" w:fill="FFFFFF"/>
              </w:rPr>
              <w:t>É possível o reconhecimento da especialidade da atividade de Vigilante, </w:t>
            </w:r>
            <w:r w:rsidRPr="00AB287D">
              <w:rPr>
                <w:rFonts w:ascii="Times New Roman" w:hAnsi="Times New Roman" w:cs="Times New Roman"/>
                <w:b/>
                <w:bCs/>
                <w:color w:val="424F54"/>
                <w:sz w:val="20"/>
                <w:szCs w:val="20"/>
                <w:shd w:val="clear" w:color="auto" w:fill="FFFFFF"/>
              </w:rPr>
              <w:t>mesmo após EC 103/2019, </w:t>
            </w:r>
            <w:r w:rsidRPr="00AB287D">
              <w:rPr>
                <w:rFonts w:ascii="Times New Roman" w:hAnsi="Times New Roman" w:cs="Times New Roman"/>
                <w:color w:val="424F54"/>
                <w:sz w:val="20"/>
                <w:szCs w:val="20"/>
                <w:shd w:val="clear" w:color="auto" w:fill="FFFFFF"/>
              </w:rPr>
              <w:t>com ou sem o uso de arma de fogo, em data posterior à Lei 9.032/1995 e ao Decreto 2.172/1997, desde que haja a comprovação da efetiva nocividade da atividade, por qualquer meio de prova até 5.3.1997, momento em que se passa a exigir apresentação de laudo técnico ou elemento material equivalente, para comprovar a permanente, não ocasional nem intermitente, exposição à atividade nociva, que coloque em risco a integridade física do Segurado.</w:t>
            </w:r>
          </w:p>
        </w:tc>
      </w:tr>
      <w:tr w:rsidR="00F1231C" w:rsidRPr="00AB287D" w14:paraId="77DC041B" w14:textId="77777777" w:rsidTr="003C35CC">
        <w:tc>
          <w:tcPr>
            <w:tcW w:w="1271" w:type="dxa"/>
          </w:tcPr>
          <w:p w14:paraId="0A2C6CED" w14:textId="77777777" w:rsidR="00F1231C" w:rsidRPr="00AB287D" w:rsidRDefault="00F1231C" w:rsidP="00AB287D">
            <w:pPr>
              <w:spacing w:line="360" w:lineRule="auto"/>
              <w:jc w:val="both"/>
              <w:rPr>
                <w:rFonts w:ascii="Times New Roman" w:hAnsi="Times New Roman" w:cs="Times New Roman"/>
                <w:sz w:val="20"/>
                <w:szCs w:val="20"/>
                <w:highlight w:val="yellow"/>
              </w:rPr>
            </w:pPr>
            <w:proofErr w:type="spellStart"/>
            <w:r w:rsidRPr="00AB287D">
              <w:rPr>
                <w:rFonts w:ascii="Times New Roman" w:hAnsi="Times New Roman" w:cs="Times New Roman"/>
                <w:sz w:val="20"/>
                <w:szCs w:val="20"/>
                <w:highlight w:val="yellow"/>
              </w:rPr>
              <w:lastRenderedPageBreak/>
              <w:t>Resp</w:t>
            </w:r>
            <w:proofErr w:type="spellEnd"/>
            <w:r w:rsidRPr="00AB287D">
              <w:rPr>
                <w:rFonts w:ascii="Times New Roman" w:hAnsi="Times New Roman" w:cs="Times New Roman"/>
                <w:sz w:val="20"/>
                <w:szCs w:val="20"/>
                <w:highlight w:val="yellow"/>
              </w:rPr>
              <w:t xml:space="preserve"> 1381734</w:t>
            </w:r>
          </w:p>
        </w:tc>
        <w:tc>
          <w:tcPr>
            <w:tcW w:w="4391" w:type="dxa"/>
          </w:tcPr>
          <w:p w14:paraId="655B700D" w14:textId="77777777" w:rsidR="00F1231C" w:rsidRPr="00AB287D" w:rsidRDefault="00F1231C" w:rsidP="00AB287D">
            <w:pPr>
              <w:spacing w:line="360" w:lineRule="auto"/>
              <w:jc w:val="both"/>
              <w:rPr>
                <w:rFonts w:ascii="Times New Roman" w:hAnsi="Times New Roman" w:cs="Times New Roman"/>
                <w:sz w:val="20"/>
                <w:szCs w:val="20"/>
                <w:highlight w:val="yellow"/>
              </w:rPr>
            </w:pPr>
          </w:p>
        </w:tc>
        <w:tc>
          <w:tcPr>
            <w:tcW w:w="2832" w:type="dxa"/>
          </w:tcPr>
          <w:p w14:paraId="7FE68626" w14:textId="77777777" w:rsidR="000E0D3D" w:rsidRPr="00AB287D" w:rsidRDefault="000E0D3D" w:rsidP="00AB287D">
            <w:pPr>
              <w:spacing w:line="360" w:lineRule="auto"/>
              <w:jc w:val="both"/>
              <w:rPr>
                <w:rFonts w:ascii="Times New Roman" w:hAnsi="Times New Roman" w:cs="Times New Roman"/>
                <w:sz w:val="20"/>
                <w:szCs w:val="20"/>
                <w:highlight w:val="yellow"/>
              </w:rPr>
            </w:pPr>
            <w:r w:rsidRPr="00AB287D">
              <w:rPr>
                <w:rFonts w:ascii="Times New Roman" w:hAnsi="Times New Roman" w:cs="Times New Roman"/>
                <w:sz w:val="20"/>
                <w:szCs w:val="20"/>
                <w:highlight w:val="yellow"/>
              </w:rPr>
              <w:t xml:space="preserve">Transitado em julgado – baixado </w:t>
            </w:r>
          </w:p>
          <w:p w14:paraId="49B5616E" w14:textId="77777777" w:rsidR="000E0D3D" w:rsidRPr="00AB287D" w:rsidRDefault="000E0D3D" w:rsidP="00AB287D">
            <w:pPr>
              <w:spacing w:line="360" w:lineRule="auto"/>
              <w:jc w:val="both"/>
              <w:rPr>
                <w:rFonts w:ascii="Times New Roman" w:hAnsi="Times New Roman" w:cs="Times New Roman"/>
                <w:sz w:val="20"/>
                <w:szCs w:val="20"/>
                <w:highlight w:val="yellow"/>
              </w:rPr>
            </w:pPr>
          </w:p>
          <w:p w14:paraId="4E679C17" w14:textId="77777777" w:rsidR="00F1231C" w:rsidRPr="00AB287D" w:rsidRDefault="000E0D3D" w:rsidP="00AB287D">
            <w:pPr>
              <w:spacing w:line="360" w:lineRule="auto"/>
              <w:jc w:val="both"/>
              <w:rPr>
                <w:rFonts w:ascii="Times New Roman" w:hAnsi="Times New Roman" w:cs="Times New Roman"/>
                <w:color w:val="424F54"/>
                <w:sz w:val="20"/>
                <w:szCs w:val="20"/>
                <w:shd w:val="clear" w:color="auto" w:fill="FFFFFF"/>
              </w:rPr>
            </w:pPr>
            <w:r w:rsidRPr="00AB287D">
              <w:rPr>
                <w:rFonts w:ascii="Times New Roman" w:hAnsi="Times New Roman" w:cs="Times New Roman"/>
                <w:sz w:val="20"/>
                <w:szCs w:val="20"/>
                <w:highlight w:val="yellow"/>
              </w:rPr>
              <w:t xml:space="preserve">6. Tese a ser submetida ao Colegiado: Com relação aos pagamentos indevidos aos segurados decorrentes de erro administrativo (material ou operacional), não embasado em interpretação errônea ou equivocada da lei pela Administração, são repetíveis os valores, sendo legítimo o seu desconto no percentual de até 30% (trinta por cento) do valor do benefício mensal, ressalvada a hipótese em que o segurado, diante do caso concreto, comprova sua boa-fé objetiva, sobretudo com demonstração de </w:t>
            </w:r>
            <w:r w:rsidRPr="00AB287D">
              <w:rPr>
                <w:rFonts w:ascii="Times New Roman" w:hAnsi="Times New Roman" w:cs="Times New Roman"/>
                <w:sz w:val="20"/>
                <w:szCs w:val="20"/>
                <w:highlight w:val="yellow"/>
              </w:rPr>
              <w:lastRenderedPageBreak/>
              <w:t>que não lhe era possível constatar o pagamento indevido.</w:t>
            </w:r>
          </w:p>
        </w:tc>
      </w:tr>
      <w:tr w:rsidR="00FA5C94" w:rsidRPr="00AB287D" w14:paraId="57323B14" w14:textId="77777777" w:rsidTr="00FA5C94">
        <w:tc>
          <w:tcPr>
            <w:tcW w:w="1271" w:type="dxa"/>
          </w:tcPr>
          <w:p w14:paraId="4E967346" w14:textId="77777777" w:rsidR="00FA5C94" w:rsidRPr="00AB287D" w:rsidRDefault="00FA5C94" w:rsidP="00AB287D">
            <w:pPr>
              <w:spacing w:line="360" w:lineRule="auto"/>
              <w:jc w:val="both"/>
              <w:rPr>
                <w:rFonts w:ascii="Times New Roman" w:hAnsi="Times New Roman" w:cs="Times New Roman"/>
                <w:sz w:val="20"/>
                <w:szCs w:val="20"/>
                <w:highlight w:val="yellow"/>
              </w:rPr>
            </w:pPr>
            <w:r>
              <w:rPr>
                <w:rFonts w:ascii="Times New Roman" w:hAnsi="Times New Roman" w:cs="Times New Roman"/>
                <w:sz w:val="20"/>
                <w:szCs w:val="20"/>
              </w:rPr>
              <w:lastRenderedPageBreak/>
              <w:t xml:space="preserve">RESP </w:t>
            </w:r>
            <w:r w:rsidRPr="00FA5C94">
              <w:rPr>
                <w:rFonts w:ascii="Times New Roman" w:hAnsi="Times New Roman" w:cs="Times New Roman"/>
                <w:sz w:val="20"/>
                <w:szCs w:val="20"/>
              </w:rPr>
              <w:t>1631021</w:t>
            </w:r>
          </w:p>
        </w:tc>
        <w:tc>
          <w:tcPr>
            <w:tcW w:w="4391" w:type="dxa"/>
          </w:tcPr>
          <w:p w14:paraId="7CD11AD2" w14:textId="77777777" w:rsidR="00FA5C94" w:rsidRPr="00AB287D" w:rsidRDefault="00FA5C94" w:rsidP="00AB287D">
            <w:pPr>
              <w:spacing w:line="360" w:lineRule="auto"/>
              <w:jc w:val="both"/>
              <w:rPr>
                <w:rFonts w:ascii="Times New Roman" w:hAnsi="Times New Roman" w:cs="Times New Roman"/>
                <w:sz w:val="20"/>
                <w:szCs w:val="20"/>
                <w:highlight w:val="yellow"/>
              </w:rPr>
            </w:pPr>
          </w:p>
        </w:tc>
        <w:tc>
          <w:tcPr>
            <w:tcW w:w="2832" w:type="dxa"/>
            <w:shd w:val="clear" w:color="auto" w:fill="auto"/>
          </w:tcPr>
          <w:p w14:paraId="7CFED4AF" w14:textId="77777777" w:rsidR="00FA5C94" w:rsidRPr="00AB287D" w:rsidRDefault="00FA5C94" w:rsidP="00AB287D">
            <w:pPr>
              <w:spacing w:line="360" w:lineRule="auto"/>
              <w:jc w:val="both"/>
              <w:rPr>
                <w:rFonts w:ascii="Times New Roman" w:hAnsi="Times New Roman" w:cs="Times New Roman"/>
                <w:sz w:val="20"/>
                <w:szCs w:val="20"/>
                <w:highlight w:val="yellow"/>
              </w:rPr>
            </w:pPr>
            <w:r w:rsidRPr="00FA5C94">
              <w:rPr>
                <w:rFonts w:ascii="Times New Roman" w:hAnsi="Times New Roman" w:cs="Times New Roman"/>
                <w:sz w:val="20"/>
                <w:szCs w:val="20"/>
              </w:rPr>
              <w:t>Aguardando julgamento no STF</w:t>
            </w:r>
            <w:r>
              <w:rPr>
                <w:rFonts w:ascii="Times New Roman" w:hAnsi="Times New Roman" w:cs="Times New Roman"/>
                <w:sz w:val="20"/>
                <w:szCs w:val="20"/>
                <w:highlight w:val="yellow"/>
              </w:rPr>
              <w:t xml:space="preserve"> </w:t>
            </w:r>
          </w:p>
        </w:tc>
      </w:tr>
    </w:tbl>
    <w:p w14:paraId="3D1151B2" w14:textId="77777777" w:rsidR="004F1021" w:rsidRPr="00AB287D" w:rsidRDefault="004F1021" w:rsidP="00AB287D">
      <w:pPr>
        <w:spacing w:after="0" w:line="360" w:lineRule="auto"/>
        <w:jc w:val="both"/>
        <w:rPr>
          <w:rFonts w:ascii="Times New Roman" w:hAnsi="Times New Roman" w:cs="Times New Roman"/>
          <w:sz w:val="20"/>
          <w:szCs w:val="20"/>
        </w:rPr>
      </w:pPr>
    </w:p>
    <w:p w14:paraId="5C77F4ED" w14:textId="77777777" w:rsidR="000E0D3D" w:rsidRPr="00AB287D" w:rsidRDefault="000E0D3D" w:rsidP="00AB287D">
      <w:pPr>
        <w:spacing w:after="0" w:line="360" w:lineRule="auto"/>
        <w:jc w:val="both"/>
        <w:rPr>
          <w:rFonts w:ascii="Times New Roman" w:hAnsi="Times New Roman" w:cs="Times New Roman"/>
          <w:sz w:val="20"/>
          <w:szCs w:val="20"/>
        </w:rPr>
      </w:pPr>
    </w:p>
    <w:p w14:paraId="00FC0B15" w14:textId="77777777" w:rsidR="000E0D3D" w:rsidRPr="00AB287D" w:rsidRDefault="000E0D3D" w:rsidP="00AB287D">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2547"/>
        <w:gridCol w:w="5947"/>
      </w:tblGrid>
      <w:tr w:rsidR="000E0D3D" w:rsidRPr="00AB287D" w14:paraId="02072C0E" w14:textId="77777777" w:rsidTr="000E0D3D">
        <w:tc>
          <w:tcPr>
            <w:tcW w:w="2547" w:type="dxa"/>
          </w:tcPr>
          <w:p w14:paraId="6041D614" w14:textId="77777777" w:rsidR="000E0D3D" w:rsidRPr="00FA5C94" w:rsidRDefault="000E0D3D" w:rsidP="00AB287D">
            <w:pPr>
              <w:spacing w:line="360" w:lineRule="auto"/>
              <w:jc w:val="both"/>
              <w:rPr>
                <w:rFonts w:ascii="Times New Roman" w:hAnsi="Times New Roman" w:cs="Times New Roman"/>
                <w:sz w:val="20"/>
                <w:szCs w:val="20"/>
              </w:rPr>
            </w:pPr>
            <w:proofErr w:type="spellStart"/>
            <w:r w:rsidRPr="00FA5C94">
              <w:rPr>
                <w:rFonts w:ascii="Times New Roman" w:hAnsi="Times New Roman" w:cs="Times New Roman"/>
                <w:sz w:val="20"/>
                <w:szCs w:val="20"/>
              </w:rPr>
              <w:t>Irdr</w:t>
            </w:r>
            <w:proofErr w:type="spellEnd"/>
            <w:r w:rsidRPr="00FA5C94">
              <w:rPr>
                <w:rFonts w:ascii="Times New Roman" w:hAnsi="Times New Roman" w:cs="Times New Roman"/>
                <w:sz w:val="20"/>
                <w:szCs w:val="20"/>
              </w:rPr>
              <w:t xml:space="preserve"> 5022820</w:t>
            </w:r>
          </w:p>
        </w:tc>
        <w:tc>
          <w:tcPr>
            <w:tcW w:w="5947" w:type="dxa"/>
          </w:tcPr>
          <w:p w14:paraId="58BEB8F9" w14:textId="77777777" w:rsidR="000E0D3D" w:rsidRPr="00FA5C94" w:rsidRDefault="000E0D3D" w:rsidP="00AB287D">
            <w:pPr>
              <w:spacing w:line="360" w:lineRule="auto"/>
              <w:jc w:val="both"/>
              <w:rPr>
                <w:rFonts w:ascii="Times New Roman" w:hAnsi="Times New Roman" w:cs="Times New Roman"/>
                <w:sz w:val="20"/>
                <w:szCs w:val="20"/>
              </w:rPr>
            </w:pPr>
            <w:r w:rsidRPr="00FA5C94">
              <w:rPr>
                <w:rFonts w:ascii="Times New Roman" w:hAnsi="Times New Roman" w:cs="Times New Roman"/>
                <w:sz w:val="20"/>
                <w:szCs w:val="20"/>
              </w:rPr>
              <w:t>Julgado</w:t>
            </w:r>
            <w:r w:rsidR="00FA5C94">
              <w:rPr>
                <w:rFonts w:ascii="Times New Roman" w:hAnsi="Times New Roman" w:cs="Times New Roman"/>
                <w:sz w:val="20"/>
                <w:szCs w:val="20"/>
              </w:rPr>
              <w:t xml:space="preserve"> – SEM TRÂNSITO – RE PENDENTE </w:t>
            </w:r>
          </w:p>
          <w:p w14:paraId="27CB097E" w14:textId="77777777" w:rsidR="000E0D3D" w:rsidRPr="00FA5C94" w:rsidRDefault="000E0D3D" w:rsidP="00AB287D">
            <w:pPr>
              <w:spacing w:line="360" w:lineRule="auto"/>
              <w:jc w:val="both"/>
              <w:rPr>
                <w:rFonts w:ascii="Times New Roman" w:hAnsi="Times New Roman" w:cs="Times New Roman"/>
                <w:sz w:val="20"/>
                <w:szCs w:val="20"/>
              </w:rPr>
            </w:pPr>
          </w:p>
          <w:p w14:paraId="3337E2DE" w14:textId="77777777" w:rsidR="000E0D3D" w:rsidRPr="00AB287D" w:rsidRDefault="000E0D3D" w:rsidP="00AB287D">
            <w:pPr>
              <w:spacing w:line="360" w:lineRule="auto"/>
              <w:jc w:val="both"/>
              <w:rPr>
                <w:rFonts w:ascii="Times New Roman" w:hAnsi="Times New Roman" w:cs="Times New Roman"/>
                <w:sz w:val="20"/>
                <w:szCs w:val="20"/>
              </w:rPr>
            </w:pPr>
            <w:r w:rsidRPr="00FA5C94">
              <w:rPr>
                <w:rFonts w:ascii="Times New Roman" w:hAnsi="Times New Roman" w:cs="Times New Roman"/>
                <w:sz w:val="20"/>
                <w:szCs w:val="20"/>
              </w:rPr>
              <w:br/>
            </w:r>
            <w:r w:rsidRPr="00FA5C94">
              <w:rPr>
                <w:rFonts w:ascii="Times New Roman" w:hAnsi="Times New Roman" w:cs="Times New Roman"/>
                <w:spacing w:val="2"/>
                <w:sz w:val="20"/>
                <w:szCs w:val="20"/>
                <w:shd w:val="clear" w:color="auto" w:fill="FFFFFF"/>
              </w:rPr>
              <w:t xml:space="preserve">E M E N T A CONSTITUCIONAL. PREVIDENCIÁRIO. PROCESSUAL CIVIL. IRDR – INCIDENTE DE RESOLUÇÃO DE DEMANDAS REPETITIVAS. DA SUSPENSÃO DO JULGAMENTO DO PROCESSO-PILOTO EM RAZÃO DA CONSTATAÇÃO DO ÓBITO DO AUTOR. POSSIBILIDADE DE IMEDIATO JULGAMENTO DO MÉRITO DO IRDR. AUTONOMIA ENTRE OS PROCEDIMENTOS. INTELIGÊNCIA DOS ARTIGOS 976, § 1º C.C OS ARTIGOS 978 E 980, TODOS DO CPC/2015. READEQUAÇÃO DOS BENEFÍCIOS PREVIDENCIÁRIOS CONCEDIDOS ANTERIORMENTE À PROMULGAÇÃO DA CF/88 AOS NOVOS TETOS PREVIDENCIÁRIOS INSTITUÍDOS PELAS EMENDAS CONSTITUCIONAIS 20/98 E 41/03. APLICAÇÃO DA NORMA JURÍDICA EXTRAÍDA DO RE 564.354/SE (AMPLIATIVE DISTINGUISHING), DESDE QUE, NO MOMENTO DA CONCESSÃO, O BENEFÍCIO TENHA SOFRIDO LIMITAÇÃO PELO MVT – MAIOR VALOR TETO, DEVENDO TAL LIMITAÇÃO E EVENTUAL PROVEITO ECONÔMICO DAÍ DECORRENTE SEREM DEMONSTRADOS NA FASE DE CONHECIMENTO. O art. 978, parágrafo único, do CPC/2015, pretende garantir que os processos-pilotos sejam submetidos ao mesmo órgão que julgou o IRDR. É possível que o IRDR e a causa-piloto sejam julgados em momentos distintos, sempre observando-se a precedência no julgamento do incidente. A solução da questão comum (veiculada no IRDR) é diferente da solução do caso concreto (veiculada no processo-piloto). Para resolver a questão comum e fixar a tese jurídica, o processo deve reunir elementos que permitam o conhecimento da controvérsia; e o processo-piloto é um dos elementos que serve de suporte para formação do incidente, mas não é o único. Daí porque, conquanto não haja previsão legal expressa nesse sentido, </w:t>
            </w:r>
            <w:r w:rsidRPr="00FA5C94">
              <w:rPr>
                <w:rFonts w:ascii="Times New Roman" w:hAnsi="Times New Roman" w:cs="Times New Roman"/>
                <w:spacing w:val="2"/>
                <w:sz w:val="20"/>
                <w:szCs w:val="20"/>
                <w:shd w:val="clear" w:color="auto" w:fill="FFFFFF"/>
              </w:rPr>
              <w:lastRenderedPageBreak/>
              <w:t xml:space="preserve">a inteligência do art. 976, § 1º </w:t>
            </w:r>
            <w:proofErr w:type="spellStart"/>
            <w:r w:rsidRPr="00FA5C94">
              <w:rPr>
                <w:rFonts w:ascii="Times New Roman" w:hAnsi="Times New Roman" w:cs="Times New Roman"/>
                <w:spacing w:val="2"/>
                <w:sz w:val="20"/>
                <w:szCs w:val="20"/>
                <w:shd w:val="clear" w:color="auto" w:fill="FFFFFF"/>
              </w:rPr>
              <w:t>c.c</w:t>
            </w:r>
            <w:proofErr w:type="spellEnd"/>
            <w:r w:rsidRPr="00FA5C94">
              <w:rPr>
                <w:rFonts w:ascii="Times New Roman" w:hAnsi="Times New Roman" w:cs="Times New Roman"/>
                <w:spacing w:val="2"/>
                <w:sz w:val="20"/>
                <w:szCs w:val="20"/>
                <w:shd w:val="clear" w:color="auto" w:fill="FFFFFF"/>
              </w:rPr>
              <w:t xml:space="preserve">. o art. 980, ambos do CPC/2015, autoriza a postergação do julgamento de um processo-piloto no caso de óbito da parte ou quando constatada necessidade de regularização processual imprescindível para o deslinde do feito individual, sem prejuízo da prévia solução da questão comum do </w:t>
            </w:r>
            <w:proofErr w:type="spellStart"/>
            <w:r w:rsidRPr="00FA5C94">
              <w:rPr>
                <w:rFonts w:ascii="Times New Roman" w:hAnsi="Times New Roman" w:cs="Times New Roman"/>
                <w:spacing w:val="2"/>
                <w:sz w:val="20"/>
                <w:szCs w:val="20"/>
                <w:shd w:val="clear" w:color="auto" w:fill="FFFFFF"/>
              </w:rPr>
              <w:t>IRDR.Pode</w:t>
            </w:r>
            <w:proofErr w:type="spellEnd"/>
            <w:r w:rsidRPr="00FA5C94">
              <w:rPr>
                <w:rFonts w:ascii="Times New Roman" w:hAnsi="Times New Roman" w:cs="Times New Roman"/>
                <w:spacing w:val="2"/>
                <w:sz w:val="20"/>
                <w:szCs w:val="20"/>
                <w:shd w:val="clear" w:color="auto" w:fill="FFFFFF"/>
              </w:rPr>
              <w:t>-se extrair do precedente formado no RE 564.354/SE, a seguinte norma jurídica: é possível a readequação dos benefícios concedidos antes da entrada em vigor das EC 20/98 e 41/03 aos novos tetos por estas instituídos, desde que: (i) o benefício que se busque readequar tenha sofrido limitação ao teto previdenciário vigente no momento da concessão; e que (</w:t>
            </w:r>
            <w:proofErr w:type="spellStart"/>
            <w:r w:rsidRPr="00FA5C94">
              <w:rPr>
                <w:rFonts w:ascii="Times New Roman" w:hAnsi="Times New Roman" w:cs="Times New Roman"/>
                <w:spacing w:val="2"/>
                <w:sz w:val="20"/>
                <w:szCs w:val="20"/>
                <w:shd w:val="clear" w:color="auto" w:fill="FFFFFF"/>
              </w:rPr>
              <w:t>ii</w:t>
            </w:r>
            <w:proofErr w:type="spellEnd"/>
            <w:r w:rsidRPr="00FA5C94">
              <w:rPr>
                <w:rFonts w:ascii="Times New Roman" w:hAnsi="Times New Roman" w:cs="Times New Roman"/>
                <w:spacing w:val="2"/>
                <w:sz w:val="20"/>
                <w:szCs w:val="20"/>
                <w:shd w:val="clear" w:color="auto" w:fill="FFFFFF"/>
              </w:rPr>
              <w:t>) a readequação não dependa nem enseje a alteração do regime jurídico e da fórmula de cálculo aplicável no momento da concessão da benesse. Tal conclusão está assentada nos seguintes fundamentos: (</w:t>
            </w:r>
            <w:proofErr w:type="spellStart"/>
            <w:r w:rsidRPr="00FA5C94">
              <w:rPr>
                <w:rFonts w:ascii="Times New Roman" w:hAnsi="Times New Roman" w:cs="Times New Roman"/>
                <w:spacing w:val="2"/>
                <w:sz w:val="20"/>
                <w:szCs w:val="20"/>
                <w:shd w:val="clear" w:color="auto" w:fill="FFFFFF"/>
              </w:rPr>
              <w:t>iv</w:t>
            </w:r>
            <w:proofErr w:type="spellEnd"/>
            <w:r w:rsidRPr="00FA5C94">
              <w:rPr>
                <w:rFonts w:ascii="Times New Roman" w:hAnsi="Times New Roman" w:cs="Times New Roman"/>
                <w:spacing w:val="2"/>
                <w:sz w:val="20"/>
                <w:szCs w:val="20"/>
                <w:shd w:val="clear" w:color="auto" w:fill="FFFFFF"/>
              </w:rPr>
              <w:t>) o segurado, a partir do seu histórico contributivo (salários de contribuição), adquire o direito a receber um determinado valor a título de benefício previdenciário; (v) a esse direito pode se opor o teto previdenciário. Além disso, há que se considerar que (vi) tal precedente foi formado num caso em que o benefício objeto da lide fora concedido em 1995, logo na vigência da Lei 8.213/91 e que (</w:t>
            </w:r>
            <w:proofErr w:type="spellStart"/>
            <w:r w:rsidRPr="00FA5C94">
              <w:rPr>
                <w:rFonts w:ascii="Times New Roman" w:hAnsi="Times New Roman" w:cs="Times New Roman"/>
                <w:spacing w:val="2"/>
                <w:sz w:val="20"/>
                <w:szCs w:val="20"/>
                <w:shd w:val="clear" w:color="auto" w:fill="FFFFFF"/>
              </w:rPr>
              <w:t>vii</w:t>
            </w:r>
            <w:proofErr w:type="spellEnd"/>
            <w:r w:rsidRPr="00FA5C94">
              <w:rPr>
                <w:rFonts w:ascii="Times New Roman" w:hAnsi="Times New Roman" w:cs="Times New Roman"/>
                <w:spacing w:val="2"/>
                <w:sz w:val="20"/>
                <w:szCs w:val="20"/>
                <w:shd w:val="clear" w:color="auto" w:fill="FFFFFF"/>
              </w:rPr>
              <w:t xml:space="preserve">) o STF, a partir do regramento constitucional, considerou o teto previdenciário um elemento externo à estrutura do benefício e cuja incidência pressupõe a formação do direito adquirido do </w:t>
            </w:r>
            <w:proofErr w:type="spellStart"/>
            <w:r w:rsidRPr="00FA5C94">
              <w:rPr>
                <w:rFonts w:ascii="Times New Roman" w:hAnsi="Times New Roman" w:cs="Times New Roman"/>
                <w:spacing w:val="2"/>
                <w:sz w:val="20"/>
                <w:szCs w:val="20"/>
                <w:shd w:val="clear" w:color="auto" w:fill="FFFFFF"/>
              </w:rPr>
              <w:t>segurado.Identificadas</w:t>
            </w:r>
            <w:proofErr w:type="spellEnd"/>
            <w:r w:rsidRPr="00FA5C94">
              <w:rPr>
                <w:rFonts w:ascii="Times New Roman" w:hAnsi="Times New Roman" w:cs="Times New Roman"/>
                <w:spacing w:val="2"/>
                <w:sz w:val="20"/>
                <w:szCs w:val="20"/>
                <w:shd w:val="clear" w:color="auto" w:fill="FFFFFF"/>
              </w:rPr>
              <w:t xml:space="preserve"> a norma jurídica geral formada no precedente paradigma e as circunstâncias fáticas e jurídicas que lhe são subjacentes, faz-se possível lançar mão da técnica do confronto – </w:t>
            </w:r>
            <w:proofErr w:type="spellStart"/>
            <w:r w:rsidRPr="00FA5C94">
              <w:rPr>
                <w:rFonts w:ascii="Times New Roman" w:hAnsi="Times New Roman" w:cs="Times New Roman"/>
                <w:spacing w:val="2"/>
                <w:sz w:val="20"/>
                <w:szCs w:val="20"/>
                <w:shd w:val="clear" w:color="auto" w:fill="FFFFFF"/>
              </w:rPr>
              <w:t>distinguishing</w:t>
            </w:r>
            <w:proofErr w:type="spellEnd"/>
            <w:r w:rsidRPr="00FA5C94">
              <w:rPr>
                <w:rFonts w:ascii="Times New Roman" w:hAnsi="Times New Roman" w:cs="Times New Roman"/>
                <w:spacing w:val="2"/>
                <w:sz w:val="20"/>
                <w:szCs w:val="20"/>
                <w:shd w:val="clear" w:color="auto" w:fill="FFFFFF"/>
              </w:rPr>
              <w:t xml:space="preserve"> - por meio da qual o magistrado compara a situação que lhe é posta com aquela que deu origem ao precedente, aplicando-lhe a </w:t>
            </w:r>
            <w:proofErr w:type="spellStart"/>
            <w:r w:rsidRPr="00FA5C94">
              <w:rPr>
                <w:rFonts w:ascii="Times New Roman" w:hAnsi="Times New Roman" w:cs="Times New Roman"/>
                <w:spacing w:val="2"/>
                <w:sz w:val="20"/>
                <w:szCs w:val="20"/>
                <w:shd w:val="clear" w:color="auto" w:fill="FFFFFF"/>
              </w:rPr>
              <w:t>ratio</w:t>
            </w:r>
            <w:proofErr w:type="spellEnd"/>
            <w:r w:rsidRPr="00FA5C94">
              <w:rPr>
                <w:rFonts w:ascii="Times New Roman" w:hAnsi="Times New Roman" w:cs="Times New Roman"/>
                <w:spacing w:val="2"/>
                <w:sz w:val="20"/>
                <w:szCs w:val="20"/>
                <w:shd w:val="clear" w:color="auto" w:fill="FFFFFF"/>
              </w:rPr>
              <w:t xml:space="preserve"> </w:t>
            </w:r>
            <w:proofErr w:type="spellStart"/>
            <w:r w:rsidRPr="00FA5C94">
              <w:rPr>
                <w:rFonts w:ascii="Times New Roman" w:hAnsi="Times New Roman" w:cs="Times New Roman"/>
                <w:spacing w:val="2"/>
                <w:sz w:val="20"/>
                <w:szCs w:val="20"/>
                <w:shd w:val="clear" w:color="auto" w:fill="FFFFFF"/>
              </w:rPr>
              <w:t>decidendi</w:t>
            </w:r>
            <w:proofErr w:type="spellEnd"/>
            <w:r w:rsidRPr="00FA5C94">
              <w:rPr>
                <w:rFonts w:ascii="Times New Roman" w:hAnsi="Times New Roman" w:cs="Times New Roman"/>
                <w:spacing w:val="2"/>
                <w:sz w:val="20"/>
                <w:szCs w:val="20"/>
                <w:shd w:val="clear" w:color="auto" w:fill="FFFFFF"/>
              </w:rPr>
              <w:t xml:space="preserve"> deste (</w:t>
            </w:r>
            <w:proofErr w:type="spellStart"/>
            <w:r w:rsidRPr="00FA5C94">
              <w:rPr>
                <w:rFonts w:ascii="Times New Roman" w:hAnsi="Times New Roman" w:cs="Times New Roman"/>
                <w:spacing w:val="2"/>
                <w:sz w:val="20"/>
                <w:szCs w:val="20"/>
                <w:shd w:val="clear" w:color="auto" w:fill="FFFFFF"/>
              </w:rPr>
              <w:t>ampliative</w:t>
            </w:r>
            <w:proofErr w:type="spellEnd"/>
            <w:r w:rsidRPr="00FA5C94">
              <w:rPr>
                <w:rFonts w:ascii="Times New Roman" w:hAnsi="Times New Roman" w:cs="Times New Roman"/>
                <w:spacing w:val="2"/>
                <w:sz w:val="20"/>
                <w:szCs w:val="20"/>
                <w:shd w:val="clear" w:color="auto" w:fill="FFFFFF"/>
              </w:rPr>
              <w:t xml:space="preserve"> </w:t>
            </w:r>
            <w:proofErr w:type="spellStart"/>
            <w:r w:rsidRPr="00FA5C94">
              <w:rPr>
                <w:rFonts w:ascii="Times New Roman" w:hAnsi="Times New Roman" w:cs="Times New Roman"/>
                <w:spacing w:val="2"/>
                <w:sz w:val="20"/>
                <w:szCs w:val="20"/>
                <w:shd w:val="clear" w:color="auto" w:fill="FFFFFF"/>
              </w:rPr>
              <w:t>distinguishing</w:t>
            </w:r>
            <w:proofErr w:type="spellEnd"/>
            <w:r w:rsidRPr="00FA5C94">
              <w:rPr>
                <w:rFonts w:ascii="Times New Roman" w:hAnsi="Times New Roman" w:cs="Times New Roman"/>
                <w:spacing w:val="2"/>
                <w:sz w:val="20"/>
                <w:szCs w:val="20"/>
                <w:shd w:val="clear" w:color="auto" w:fill="FFFFFF"/>
              </w:rPr>
              <w:t>) se as circunstâncias e peculiaridades de ambos os casos forem compatíveis, ou não (</w:t>
            </w:r>
            <w:proofErr w:type="spellStart"/>
            <w:r w:rsidRPr="00FA5C94">
              <w:rPr>
                <w:rFonts w:ascii="Times New Roman" w:hAnsi="Times New Roman" w:cs="Times New Roman"/>
                <w:spacing w:val="2"/>
                <w:sz w:val="20"/>
                <w:szCs w:val="20"/>
                <w:shd w:val="clear" w:color="auto" w:fill="FFFFFF"/>
              </w:rPr>
              <w:t>restritive</w:t>
            </w:r>
            <w:proofErr w:type="spellEnd"/>
            <w:r w:rsidRPr="00FA5C94">
              <w:rPr>
                <w:rFonts w:ascii="Times New Roman" w:hAnsi="Times New Roman" w:cs="Times New Roman"/>
                <w:spacing w:val="2"/>
                <w:sz w:val="20"/>
                <w:szCs w:val="20"/>
                <w:shd w:val="clear" w:color="auto" w:fill="FFFFFF"/>
              </w:rPr>
              <w:t xml:space="preserve"> </w:t>
            </w:r>
            <w:proofErr w:type="spellStart"/>
            <w:r w:rsidRPr="00FA5C94">
              <w:rPr>
                <w:rFonts w:ascii="Times New Roman" w:hAnsi="Times New Roman" w:cs="Times New Roman"/>
                <w:spacing w:val="2"/>
                <w:sz w:val="20"/>
                <w:szCs w:val="20"/>
                <w:shd w:val="clear" w:color="auto" w:fill="FFFFFF"/>
              </w:rPr>
              <w:t>distinguishing</w:t>
            </w:r>
            <w:proofErr w:type="spellEnd"/>
            <w:r w:rsidRPr="00FA5C94">
              <w:rPr>
                <w:rFonts w:ascii="Times New Roman" w:hAnsi="Times New Roman" w:cs="Times New Roman"/>
                <w:spacing w:val="2"/>
                <w:sz w:val="20"/>
                <w:szCs w:val="20"/>
                <w:shd w:val="clear" w:color="auto" w:fill="FFFFFF"/>
              </w:rPr>
              <w:t xml:space="preserve">), caso identifique incompatibilidade entre as peculiaridades dos casos </w:t>
            </w:r>
            <w:proofErr w:type="spellStart"/>
            <w:r w:rsidRPr="00FA5C94">
              <w:rPr>
                <w:rFonts w:ascii="Times New Roman" w:hAnsi="Times New Roman" w:cs="Times New Roman"/>
                <w:spacing w:val="2"/>
                <w:sz w:val="20"/>
                <w:szCs w:val="20"/>
                <w:shd w:val="clear" w:color="auto" w:fill="FFFFFF"/>
              </w:rPr>
              <w:t>confrontados.No</w:t>
            </w:r>
            <w:proofErr w:type="spellEnd"/>
            <w:r w:rsidRPr="00FA5C94">
              <w:rPr>
                <w:rFonts w:ascii="Times New Roman" w:hAnsi="Times New Roman" w:cs="Times New Roman"/>
                <w:spacing w:val="2"/>
                <w:sz w:val="20"/>
                <w:szCs w:val="20"/>
                <w:shd w:val="clear" w:color="auto" w:fill="FFFFFF"/>
              </w:rPr>
              <w:t xml:space="preserve"> âmbito do E. STF, já foram proferidas algumas decisões no sentido de que o julgamento do RE 564.354/SE não impôs qualquer limite temporal em relação à aplicação da sua </w:t>
            </w:r>
            <w:proofErr w:type="spellStart"/>
            <w:r w:rsidRPr="00FA5C94">
              <w:rPr>
                <w:rFonts w:ascii="Times New Roman" w:hAnsi="Times New Roman" w:cs="Times New Roman"/>
                <w:spacing w:val="2"/>
                <w:sz w:val="20"/>
                <w:szCs w:val="20"/>
                <w:shd w:val="clear" w:color="auto" w:fill="FFFFFF"/>
              </w:rPr>
              <w:t>ratio</w:t>
            </w:r>
            <w:proofErr w:type="spellEnd"/>
            <w:r w:rsidRPr="00FA5C94">
              <w:rPr>
                <w:rFonts w:ascii="Times New Roman" w:hAnsi="Times New Roman" w:cs="Times New Roman"/>
                <w:spacing w:val="2"/>
                <w:sz w:val="20"/>
                <w:szCs w:val="20"/>
                <w:shd w:val="clear" w:color="auto" w:fill="FFFFFF"/>
              </w:rPr>
              <w:t xml:space="preserve"> </w:t>
            </w:r>
            <w:proofErr w:type="spellStart"/>
            <w:r w:rsidRPr="00FA5C94">
              <w:rPr>
                <w:rFonts w:ascii="Times New Roman" w:hAnsi="Times New Roman" w:cs="Times New Roman"/>
                <w:spacing w:val="2"/>
                <w:sz w:val="20"/>
                <w:szCs w:val="20"/>
                <w:shd w:val="clear" w:color="auto" w:fill="FFFFFF"/>
              </w:rPr>
              <w:t>decidendi</w:t>
            </w:r>
            <w:proofErr w:type="spellEnd"/>
            <w:r w:rsidRPr="00FA5C94">
              <w:rPr>
                <w:rFonts w:ascii="Times New Roman" w:hAnsi="Times New Roman" w:cs="Times New Roman"/>
                <w:spacing w:val="2"/>
                <w:sz w:val="20"/>
                <w:szCs w:val="20"/>
                <w:shd w:val="clear" w:color="auto" w:fill="FFFFFF"/>
              </w:rPr>
              <w:t xml:space="preserve">. Há, inclusive, julgados da Suprema Corte no sentido de que a norma jurídica geral extraída de tal precedente deve ser aplicada aos benefícios concedidos antes da entrada em vigor da CF/88. Considerando que tais decisões não têm força vinculante, em que pese a sua eficácia persuasiva, e que o E. STF não se debruçou, no precedente mencionado, sobre a legislação pré-constitucional, não há óbice ao exame da pretensão objeto deste incidente. Pelo contrário. A </w:t>
            </w:r>
            <w:r w:rsidRPr="00FA5C94">
              <w:rPr>
                <w:rFonts w:ascii="Times New Roman" w:hAnsi="Times New Roman" w:cs="Times New Roman"/>
                <w:spacing w:val="2"/>
                <w:sz w:val="20"/>
                <w:szCs w:val="20"/>
                <w:shd w:val="clear" w:color="auto" w:fill="FFFFFF"/>
              </w:rPr>
              <w:lastRenderedPageBreak/>
              <w:t xml:space="preserve">inexistência de precedente obrigatório, aliada à divergência existente nesta Corte em relação a esse tema tornam admissível esse incidente, conforme assentado já no acórdão que o </w:t>
            </w:r>
            <w:proofErr w:type="spellStart"/>
            <w:proofErr w:type="gramStart"/>
            <w:r w:rsidRPr="00FA5C94">
              <w:rPr>
                <w:rFonts w:ascii="Times New Roman" w:hAnsi="Times New Roman" w:cs="Times New Roman"/>
                <w:spacing w:val="2"/>
                <w:sz w:val="20"/>
                <w:szCs w:val="20"/>
                <w:shd w:val="clear" w:color="auto" w:fill="FFFFFF"/>
              </w:rPr>
              <w:t>admitiu.O</w:t>
            </w:r>
            <w:proofErr w:type="spellEnd"/>
            <w:proofErr w:type="gramEnd"/>
            <w:r w:rsidRPr="00FA5C94">
              <w:rPr>
                <w:rFonts w:ascii="Times New Roman" w:hAnsi="Times New Roman" w:cs="Times New Roman"/>
                <w:spacing w:val="2"/>
                <w:sz w:val="20"/>
                <w:szCs w:val="20"/>
                <w:shd w:val="clear" w:color="auto" w:fill="FFFFFF"/>
              </w:rPr>
              <w:t xml:space="preserve"> artigo 58 do ADCT não impôs uma revisão propriamente dita aos benefícios concedidos antes da CF/88, tampouco alterou o regime jurídico aplicável aos benefícios concedidos anteriormente à promulgação da Constituição Federal de 1988; ele apenas os reajustou. Como a sistemática de cálculos aplicada quando da concessão dos benefícios foi mantida, tem-se que ela, na verdade, foi recepcionada pela CF/88 e pelo RGPS, o qual, a partir do seu advento, passou a regulá-los. O recálculo determinado por mencionado dispositivo – diferentemente do que aconteceu, por exemplo, com a revisão prevista no artigo 144, da Lei 8.213/91 para os benefícios concedidos no denominado buraco negro - não alterou a fórmula de cálculo aplicada no momento da concessão, tendo, antes, partido do resultado desta. Por conseguinte, os reajustes decorrentes do artigo 58, do ADCT e, posteriormente, do artigo 41, § 3º, da Lei 8.213/91 não constituem circunstância suficiente para afastar a possibilidade de readequação fundada no RE 564.354, eis que tais reajustes não excluem eventual limitação originária, havida no momento da concessão do </w:t>
            </w:r>
            <w:proofErr w:type="spellStart"/>
            <w:r w:rsidRPr="00FA5C94">
              <w:rPr>
                <w:rFonts w:ascii="Times New Roman" w:hAnsi="Times New Roman" w:cs="Times New Roman"/>
                <w:spacing w:val="2"/>
                <w:sz w:val="20"/>
                <w:szCs w:val="20"/>
                <w:shd w:val="clear" w:color="auto" w:fill="FFFFFF"/>
              </w:rPr>
              <w:t>benefício.Na</w:t>
            </w:r>
            <w:proofErr w:type="spellEnd"/>
            <w:r w:rsidRPr="00FA5C94">
              <w:rPr>
                <w:rFonts w:ascii="Times New Roman" w:hAnsi="Times New Roman" w:cs="Times New Roman"/>
                <w:spacing w:val="2"/>
                <w:sz w:val="20"/>
                <w:szCs w:val="20"/>
                <w:shd w:val="clear" w:color="auto" w:fill="FFFFFF"/>
              </w:rPr>
              <w:t xml:space="preserve"> sistemática da Lei 8.213/91, o cálculo do benefício é feito em etapas e o limitador previdenciário, majorado pelas emendas constitucionais, pode incidir sobre o “salário de benefício”, sobre a “renda mensal” e sobre a renda mensal reajustada. Nas palavras do e. Ministro Gilmar Mendes, o teto previdenciário consiste num “elemento externo à estrutura jurídica do benefício previdenciário, que não o integra” e cuja incidência “pressupõe a </w:t>
            </w:r>
            <w:proofErr w:type="spellStart"/>
            <w:r w:rsidRPr="00FA5C94">
              <w:rPr>
                <w:rFonts w:ascii="Times New Roman" w:hAnsi="Times New Roman" w:cs="Times New Roman"/>
                <w:spacing w:val="2"/>
                <w:sz w:val="20"/>
                <w:szCs w:val="20"/>
                <w:shd w:val="clear" w:color="auto" w:fill="FFFFFF"/>
              </w:rPr>
              <w:t>perfectibilização</w:t>
            </w:r>
            <w:proofErr w:type="spellEnd"/>
            <w:r w:rsidRPr="00FA5C94">
              <w:rPr>
                <w:rFonts w:ascii="Times New Roman" w:hAnsi="Times New Roman" w:cs="Times New Roman"/>
                <w:spacing w:val="2"/>
                <w:sz w:val="20"/>
                <w:szCs w:val="20"/>
                <w:shd w:val="clear" w:color="auto" w:fill="FFFFFF"/>
              </w:rPr>
              <w:t xml:space="preserve"> do direito, sendo-lhe, pois, posterior e incidindo como elemento redutor do valor do </w:t>
            </w:r>
            <w:proofErr w:type="spellStart"/>
            <w:r w:rsidRPr="00FA5C94">
              <w:rPr>
                <w:rFonts w:ascii="Times New Roman" w:hAnsi="Times New Roman" w:cs="Times New Roman"/>
                <w:spacing w:val="2"/>
                <w:sz w:val="20"/>
                <w:szCs w:val="20"/>
                <w:shd w:val="clear" w:color="auto" w:fill="FFFFFF"/>
              </w:rPr>
              <w:t>benefício”.Embora</w:t>
            </w:r>
            <w:proofErr w:type="spellEnd"/>
            <w:r w:rsidRPr="00FA5C94">
              <w:rPr>
                <w:rFonts w:ascii="Times New Roman" w:hAnsi="Times New Roman" w:cs="Times New Roman"/>
                <w:spacing w:val="2"/>
                <w:sz w:val="20"/>
                <w:szCs w:val="20"/>
                <w:shd w:val="clear" w:color="auto" w:fill="FFFFFF"/>
              </w:rPr>
              <w:t xml:space="preserve"> o regime pré-constitucional previsse duas figuras que continham a expressão “teto” em sua denominação,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(menor valor teto) e o MVT (maior valor teto), o exame acurado de tal regramento revela que apenas o segundo (MVT) assume os mesmos contornos jurídicos do “teto previdenciário” previsto no RGPS.O MVT incidia tanto sobre o salário de benefício, quanto na da renda mensal e, até mesmo, da renda mensal reajustada, sendo que, sobre aquele (salário de benefício) incidia integralmente (100% do MVT) e sobre esta (renda mensal) parcialmente (90% do MVT). Além disso, o MVT incidia após a definição do valor do salário de benefício e da renda mensal, podendo ensejar o descarte de parte dessas verbas. Tudo isso conduz à conclusão de que o MVT se subsome ao conceito de teto </w:t>
            </w:r>
            <w:r w:rsidRPr="00FA5C94">
              <w:rPr>
                <w:rFonts w:ascii="Times New Roman" w:hAnsi="Times New Roman" w:cs="Times New Roman"/>
                <w:spacing w:val="2"/>
                <w:sz w:val="20"/>
                <w:szCs w:val="20"/>
                <w:shd w:val="clear" w:color="auto" w:fill="FFFFFF"/>
              </w:rPr>
              <w:lastRenderedPageBreak/>
              <w:t xml:space="preserve">previdenciário delineado pelo i. Ministro Gilmar Mendes do RE </w:t>
            </w:r>
            <w:proofErr w:type="gramStart"/>
            <w:r w:rsidRPr="00FA5C94">
              <w:rPr>
                <w:rFonts w:ascii="Times New Roman" w:hAnsi="Times New Roman" w:cs="Times New Roman"/>
                <w:spacing w:val="2"/>
                <w:sz w:val="20"/>
                <w:szCs w:val="20"/>
                <w:shd w:val="clear" w:color="auto" w:fill="FFFFFF"/>
              </w:rPr>
              <w:t>564.354.No</w:t>
            </w:r>
            <w:proofErr w:type="gramEnd"/>
            <w:r w:rsidRPr="00FA5C94">
              <w:rPr>
                <w:rFonts w:ascii="Times New Roman" w:hAnsi="Times New Roman" w:cs="Times New Roman"/>
                <w:spacing w:val="2"/>
                <w:sz w:val="20"/>
                <w:szCs w:val="20"/>
                <w:shd w:val="clear" w:color="auto" w:fill="FFFFFF"/>
              </w:rPr>
              <w:t xml:space="preserve"> regime anterior à CF/88, o cálculo do benefício era igualmente feito em etapas. Na primeira, apuravam-se os salários de contribuição, dos quais se extraía uma média correspondente ao salário de benefício, o qual não podia ser inferior ao salário mínimo, nem superior a 20 (vinte) vezes o maior salário mínimo vigente no país (MVT). Ou seja, na sistemática </w:t>
            </w:r>
            <w:proofErr w:type="spellStart"/>
            <w:r w:rsidRPr="00FA5C94">
              <w:rPr>
                <w:rFonts w:ascii="Times New Roman" w:hAnsi="Times New Roman" w:cs="Times New Roman"/>
                <w:spacing w:val="2"/>
                <w:sz w:val="20"/>
                <w:szCs w:val="20"/>
                <w:shd w:val="clear" w:color="auto" w:fill="FFFFFF"/>
              </w:rPr>
              <w:t>pré</w:t>
            </w:r>
            <w:proofErr w:type="spellEnd"/>
            <w:r w:rsidRPr="00FA5C94">
              <w:rPr>
                <w:rFonts w:ascii="Times New Roman" w:hAnsi="Times New Roman" w:cs="Times New Roman"/>
                <w:spacing w:val="2"/>
                <w:sz w:val="20"/>
                <w:szCs w:val="20"/>
                <w:shd w:val="clear" w:color="auto" w:fill="FFFFFF"/>
              </w:rPr>
              <w:t xml:space="preserve">- CF/88, o salário de benefício poderia sofrer limitação a um teto (MVT), à semelhança do que se verifica no RGPS.A partir do salário de benefício, calculava-se o valor da renda mensal, observando-se uma equação bem diferente do regramento estabelecido pela Lei 8.213/91 e suas sucessivas </w:t>
            </w:r>
            <w:proofErr w:type="spellStart"/>
            <w:r w:rsidRPr="00FA5C94">
              <w:rPr>
                <w:rFonts w:ascii="Times New Roman" w:hAnsi="Times New Roman" w:cs="Times New Roman"/>
                <w:spacing w:val="2"/>
                <w:sz w:val="20"/>
                <w:szCs w:val="20"/>
                <w:shd w:val="clear" w:color="auto" w:fill="FFFFFF"/>
              </w:rPr>
              <w:t>alterações.Se</w:t>
            </w:r>
            <w:proofErr w:type="spellEnd"/>
            <w:r w:rsidRPr="00FA5C94">
              <w:rPr>
                <w:rFonts w:ascii="Times New Roman" w:hAnsi="Times New Roman" w:cs="Times New Roman"/>
                <w:spacing w:val="2"/>
                <w:sz w:val="20"/>
                <w:szCs w:val="20"/>
                <w:shd w:val="clear" w:color="auto" w:fill="FFFFFF"/>
              </w:rPr>
              <w:t xml:space="preserve"> o salário de benefício fosse igual ou inferior a 10 (dez) vezes o maior salário mínimo vigente no país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sobre ele se aplicava o coeficiente do benefício, alcançando-se, com isso, a renda mensal do benefício, o valor do </w:t>
            </w:r>
            <w:proofErr w:type="spellStart"/>
            <w:r w:rsidRPr="00FA5C94">
              <w:rPr>
                <w:rFonts w:ascii="Times New Roman" w:hAnsi="Times New Roman" w:cs="Times New Roman"/>
                <w:spacing w:val="2"/>
                <w:sz w:val="20"/>
                <w:szCs w:val="20"/>
                <w:shd w:val="clear" w:color="auto" w:fill="FFFFFF"/>
              </w:rPr>
              <w:t>benefício.Quando</w:t>
            </w:r>
            <w:proofErr w:type="spellEnd"/>
            <w:r w:rsidRPr="00FA5C94">
              <w:rPr>
                <w:rFonts w:ascii="Times New Roman" w:hAnsi="Times New Roman" w:cs="Times New Roman"/>
                <w:spacing w:val="2"/>
                <w:sz w:val="20"/>
                <w:szCs w:val="20"/>
                <w:shd w:val="clear" w:color="auto" w:fill="FFFFFF"/>
              </w:rPr>
              <w:t xml:space="preserve"> o salário de benefício superava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o cômputo da renda mensal era submetido a outro critério de cálculo, sem qualquer correspondência com a sistemática instituída pela Lei 8.213/91. A renda mensal era alcançada a partir da soma de duas parcelas calculadas a partir do desmembramento do salário de benefício: (a) a primeira correspondia ao produto da multiplicação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pelo coeficiente do benefício; e (b) a segunda, correspondia à diferença entre o salário de benefício e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multiplicada pelo coeficiente legal - isto é tantos 1/30 (um trinta avos) quantos forem os grupos de 12 (doze) contribuições acima de 10 (dez) salários-mínimos -, sendo que essa segunda parcela tinha que respeitar o limite máximo de 80% (oitenta por cento)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A par disso, a somas das parcelas a e b, o valor da renda mensal, não poderia ser superior a 90% (noventa por cento) do valor do MVT.A limitação da renda mensal a 90% do MVT nada mais é do que um desdobramento natural da sistemática de cálculo da época e que apenas servia para ratificar a limitação imposta ao salário de benefício pelo MVT (100%). Como (i)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equivalia à metade do MVT; (</w:t>
            </w:r>
            <w:proofErr w:type="spellStart"/>
            <w:r w:rsidRPr="00FA5C94">
              <w:rPr>
                <w:rFonts w:ascii="Times New Roman" w:hAnsi="Times New Roman" w:cs="Times New Roman"/>
                <w:spacing w:val="2"/>
                <w:sz w:val="20"/>
                <w:szCs w:val="20"/>
                <w:shd w:val="clear" w:color="auto" w:fill="FFFFFF"/>
              </w:rPr>
              <w:t>ii</w:t>
            </w:r>
            <w:proofErr w:type="spellEnd"/>
            <w:r w:rsidRPr="00FA5C94">
              <w:rPr>
                <w:rFonts w:ascii="Times New Roman" w:hAnsi="Times New Roman" w:cs="Times New Roman"/>
                <w:spacing w:val="2"/>
                <w:sz w:val="20"/>
                <w:szCs w:val="20"/>
                <w:shd w:val="clear" w:color="auto" w:fill="FFFFFF"/>
              </w:rPr>
              <w:t xml:space="preserve">) a parcela (a) não podia ser superior ao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e (</w:t>
            </w:r>
            <w:proofErr w:type="spellStart"/>
            <w:r w:rsidRPr="00FA5C94">
              <w:rPr>
                <w:rFonts w:ascii="Times New Roman" w:hAnsi="Times New Roman" w:cs="Times New Roman"/>
                <w:spacing w:val="2"/>
                <w:sz w:val="20"/>
                <w:szCs w:val="20"/>
                <w:shd w:val="clear" w:color="auto" w:fill="FFFFFF"/>
              </w:rPr>
              <w:t>iii</w:t>
            </w:r>
            <w:proofErr w:type="spellEnd"/>
            <w:r w:rsidRPr="00FA5C94">
              <w:rPr>
                <w:rFonts w:ascii="Times New Roman" w:hAnsi="Times New Roman" w:cs="Times New Roman"/>
                <w:spacing w:val="2"/>
                <w:sz w:val="20"/>
                <w:szCs w:val="20"/>
                <w:shd w:val="clear" w:color="auto" w:fill="FFFFFF"/>
              </w:rPr>
              <w:t xml:space="preserve">) a parcela (b) não podia ser superior a 80%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a soma dessas parcelas, a renda mensal, necessariamente não ultrapassava 90% do MVT (100%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+ 80%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 180%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 90% do MVT</w:t>
            </w:r>
            <w:proofErr w:type="gramStart"/>
            <w:r w:rsidRPr="00FA5C94">
              <w:rPr>
                <w:rFonts w:ascii="Times New Roman" w:hAnsi="Times New Roman" w:cs="Times New Roman"/>
                <w:spacing w:val="2"/>
                <w:sz w:val="20"/>
                <w:szCs w:val="20"/>
                <w:shd w:val="clear" w:color="auto" w:fill="FFFFFF"/>
              </w:rPr>
              <w:t>).Enquanto</w:t>
            </w:r>
            <w:proofErr w:type="gramEnd"/>
            <w:r w:rsidRPr="00FA5C94">
              <w:rPr>
                <w:rFonts w:ascii="Times New Roman" w:hAnsi="Times New Roman" w:cs="Times New Roman"/>
                <w:spacing w:val="2"/>
                <w:sz w:val="20"/>
                <w:szCs w:val="20"/>
                <w:shd w:val="clear" w:color="auto" w:fill="FFFFFF"/>
              </w:rPr>
              <w:t xml:space="preserve"> o MVT incide sobre o salário de benefício, o teto de 90% do MVT incide sobre a renda mensal. Mas a limitação do benefício, em verdade, se dá por meio da incidência do MVT sobre o salário de benefício, sendo apenas ratificada pela incidência de 90% do MVT sobre a renda </w:t>
            </w:r>
            <w:r w:rsidRPr="00FA5C94">
              <w:rPr>
                <w:rFonts w:ascii="Times New Roman" w:hAnsi="Times New Roman" w:cs="Times New Roman"/>
                <w:spacing w:val="2"/>
                <w:sz w:val="20"/>
                <w:szCs w:val="20"/>
                <w:shd w:val="clear" w:color="auto" w:fill="FFFFFF"/>
              </w:rPr>
              <w:lastRenderedPageBreak/>
              <w:t xml:space="preserve">mensal. Esse sistema de dupla limitação – incidência, primeiramente, do teto sobre o salário de benefício e, posteriormente, sobre a renda mensal –, como visto, está presente também no regramento do RGPS, no qual o teto incide tanto sobre o salário de benefício quanto sobre a renda mensal. Só que, na sistemática </w:t>
            </w:r>
            <w:proofErr w:type="spellStart"/>
            <w:r w:rsidRPr="00FA5C94">
              <w:rPr>
                <w:rFonts w:ascii="Times New Roman" w:hAnsi="Times New Roman" w:cs="Times New Roman"/>
                <w:spacing w:val="2"/>
                <w:sz w:val="20"/>
                <w:szCs w:val="20"/>
                <w:shd w:val="clear" w:color="auto" w:fill="FFFFFF"/>
              </w:rPr>
              <w:t>pré</w:t>
            </w:r>
            <w:proofErr w:type="spellEnd"/>
            <w:r w:rsidRPr="00FA5C94">
              <w:rPr>
                <w:rFonts w:ascii="Times New Roman" w:hAnsi="Times New Roman" w:cs="Times New Roman"/>
                <w:spacing w:val="2"/>
                <w:sz w:val="20"/>
                <w:szCs w:val="20"/>
                <w:shd w:val="clear" w:color="auto" w:fill="FFFFFF"/>
              </w:rPr>
              <w:t xml:space="preserve">- CF/88, em razão de uma peculiaridade do cálculo da renda mensal – desmembramento do salário de benefício e impossibilidade de a parcela b do cômputo da renda mensal superar 80%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(cf. itens 12 e 13) -, há a necessidade de se estabelecer uma distinção entre o porcentual do MVT que deve incidir sobre o salário de benefício (100%) e o incidente sobre a renda mensal (90%), o que não se verifica no </w:t>
            </w:r>
            <w:proofErr w:type="spellStart"/>
            <w:r w:rsidRPr="00FA5C94">
              <w:rPr>
                <w:rFonts w:ascii="Times New Roman" w:hAnsi="Times New Roman" w:cs="Times New Roman"/>
                <w:spacing w:val="2"/>
                <w:sz w:val="20"/>
                <w:szCs w:val="20"/>
                <w:shd w:val="clear" w:color="auto" w:fill="FFFFFF"/>
              </w:rPr>
              <w:t>RGPS.Daí</w:t>
            </w:r>
            <w:proofErr w:type="spellEnd"/>
            <w:r w:rsidRPr="00FA5C94">
              <w:rPr>
                <w:rFonts w:ascii="Times New Roman" w:hAnsi="Times New Roman" w:cs="Times New Roman"/>
                <w:spacing w:val="2"/>
                <w:sz w:val="20"/>
                <w:szCs w:val="20"/>
                <w:shd w:val="clear" w:color="auto" w:fill="FFFFFF"/>
              </w:rPr>
              <w:t xml:space="preserve"> porque, para fins de readequação, há que se verificar se o salário de benefício do segurado sofreu limitação pelo MVT.O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 menor valor teto, de seu turno, não ensejava o descarte de qualquer parcela do valor do salário de benefício ou da média dos salários de contribuição. Ele apenas servia de baliza ou referência para determinar qual das fórmulas de cálculo previstas na legislação seria utilizada para a definição da renda </w:t>
            </w:r>
            <w:proofErr w:type="spellStart"/>
            <w:r w:rsidRPr="00FA5C94">
              <w:rPr>
                <w:rFonts w:ascii="Times New Roman" w:hAnsi="Times New Roman" w:cs="Times New Roman"/>
                <w:spacing w:val="2"/>
                <w:sz w:val="20"/>
                <w:szCs w:val="20"/>
                <w:shd w:val="clear" w:color="auto" w:fill="FFFFFF"/>
              </w:rPr>
              <w:t>mensal.A</w:t>
            </w:r>
            <w:proofErr w:type="spellEnd"/>
            <w:r w:rsidRPr="00FA5C94">
              <w:rPr>
                <w:rFonts w:ascii="Times New Roman" w:hAnsi="Times New Roman" w:cs="Times New Roman"/>
                <w:spacing w:val="2"/>
                <w:sz w:val="20"/>
                <w:szCs w:val="20"/>
                <w:shd w:val="clear" w:color="auto" w:fill="FFFFFF"/>
              </w:rPr>
              <w:t xml:space="preserve"> parte do salário de benefício que excedia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no mais das vezes, terminava sendo reduzida, mas isso se dava em razão do coeficiente legal, de sorte que o fato de o salário de benefício superar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não autoriza a readequação na forma delineada no RE 564.354.A tese sustentada em favor dos segurados, a pretexto de eliminar a restrição supostamente imposta pelo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 inexistente, como visto -, na verdade, elimina uma das etapas da sistemática de cálculo da época e um dos seus elementos intrínsecos, o coeficiente legal, o que é incompatível com as condições impostas pelo STF para a procedência do pedido de readequação: o respeito ao ato jurídico perfeito e à irretroatividade das leis; a necessidade de preservação da equação primária do </w:t>
            </w:r>
            <w:proofErr w:type="spellStart"/>
            <w:r w:rsidRPr="00FA5C94">
              <w:rPr>
                <w:rFonts w:ascii="Times New Roman" w:hAnsi="Times New Roman" w:cs="Times New Roman"/>
                <w:spacing w:val="2"/>
                <w:sz w:val="20"/>
                <w:szCs w:val="20"/>
                <w:shd w:val="clear" w:color="auto" w:fill="FFFFFF"/>
              </w:rPr>
              <w:t>cálculo.O</w:t>
            </w:r>
            <w:proofErr w:type="spellEnd"/>
            <w:r w:rsidRPr="00FA5C94">
              <w:rPr>
                <w:rFonts w:ascii="Times New Roman" w:hAnsi="Times New Roman" w:cs="Times New Roman"/>
                <w:spacing w:val="2"/>
                <w:sz w:val="20"/>
                <w:szCs w:val="20"/>
                <w:shd w:val="clear" w:color="auto" w:fill="FFFFFF"/>
              </w:rPr>
              <w:t xml:space="preserve"> coeficiente legal, aplicado no cálculo da segunda parcela da renda mensal, é elemento intrínseco ao cálculo; sua aplicação é essencial para a aferição de uma renda mensal (valor do benefício) mais compatível com o histórico contributivo do segurado. É precisamente por isso que ele correspondia a 1/30 a cada grupo de 12 contribuições que superasse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Com isso, o legislador assegurava um tratamento proporcional e isonômico aos segurados, aumentando, de um lado, o valor do benefício daqueles que vertiam contribuições superiores ao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na exata medida destas e, de outro, evitava que o segurado, nos últimos anos de atividade, recolhesse contribuições incompatíveis com o seu histórico contributivo como forma de inflar, artificialmente, o seu </w:t>
            </w:r>
            <w:r w:rsidRPr="00FA5C94">
              <w:rPr>
                <w:rFonts w:ascii="Times New Roman" w:hAnsi="Times New Roman" w:cs="Times New Roman"/>
                <w:spacing w:val="2"/>
                <w:sz w:val="20"/>
                <w:szCs w:val="20"/>
                <w:shd w:val="clear" w:color="auto" w:fill="FFFFFF"/>
              </w:rPr>
              <w:lastRenderedPageBreak/>
              <w:t xml:space="preserve">salário de </w:t>
            </w:r>
            <w:proofErr w:type="spellStart"/>
            <w:r w:rsidRPr="00FA5C94">
              <w:rPr>
                <w:rFonts w:ascii="Times New Roman" w:hAnsi="Times New Roman" w:cs="Times New Roman"/>
                <w:spacing w:val="2"/>
                <w:sz w:val="20"/>
                <w:szCs w:val="20"/>
                <w:shd w:val="clear" w:color="auto" w:fill="FFFFFF"/>
              </w:rPr>
              <w:t>benefício.Reconhecida</w:t>
            </w:r>
            <w:proofErr w:type="spellEnd"/>
            <w:r w:rsidRPr="00FA5C94">
              <w:rPr>
                <w:rFonts w:ascii="Times New Roman" w:hAnsi="Times New Roman" w:cs="Times New Roman"/>
                <w:spacing w:val="2"/>
                <w:sz w:val="20"/>
                <w:szCs w:val="20"/>
                <w:shd w:val="clear" w:color="auto" w:fill="FFFFFF"/>
              </w:rPr>
              <w:t xml:space="preserve"> a possibilidade de os benefícios concedidos antes da promulgação da CF/88 serem objeto da readequação nos termos delineados no RE 564.354, DESDE que fique demonstrado que, no momento da concessão, o salário de benefício sofreu limitação pelo MVT – Maior Valor Teto. Precedentes da TNU (Pedido de Uniformização de Interpretação de Lei (Turma) XXXXX-53.2016.4.05.8500, TAIS VARGAS FERRACINI DE CAMPOS GURGEL - TURMA NACIONAL DE UNIFORMIZAÇÃO) e de algumas das C. Turmas que compõem esta E. </w:t>
            </w:r>
            <w:proofErr w:type="spellStart"/>
            <w:r w:rsidRPr="00FA5C94">
              <w:rPr>
                <w:rFonts w:ascii="Times New Roman" w:hAnsi="Times New Roman" w:cs="Times New Roman"/>
                <w:spacing w:val="2"/>
                <w:sz w:val="20"/>
                <w:szCs w:val="20"/>
                <w:shd w:val="clear" w:color="auto" w:fill="FFFFFF"/>
              </w:rPr>
              <w:t>Seção.Para</w:t>
            </w:r>
            <w:proofErr w:type="spellEnd"/>
            <w:r w:rsidRPr="00FA5C94">
              <w:rPr>
                <w:rFonts w:ascii="Times New Roman" w:hAnsi="Times New Roman" w:cs="Times New Roman"/>
                <w:spacing w:val="2"/>
                <w:sz w:val="20"/>
                <w:szCs w:val="20"/>
                <w:shd w:val="clear" w:color="auto" w:fill="FFFFFF"/>
              </w:rPr>
              <w:t xml:space="preserve"> o reconhecimento do direito à readequação dos benefícios pré-constitucionais aos novos tetos das </w:t>
            </w:r>
            <w:proofErr w:type="spellStart"/>
            <w:r w:rsidRPr="00FA5C94">
              <w:rPr>
                <w:rFonts w:ascii="Times New Roman" w:hAnsi="Times New Roman" w:cs="Times New Roman"/>
                <w:spacing w:val="2"/>
                <w:sz w:val="20"/>
                <w:szCs w:val="20"/>
                <w:shd w:val="clear" w:color="auto" w:fill="FFFFFF"/>
              </w:rPr>
              <w:t>ECs</w:t>
            </w:r>
            <w:proofErr w:type="spellEnd"/>
            <w:r w:rsidRPr="00FA5C94">
              <w:rPr>
                <w:rFonts w:ascii="Times New Roman" w:hAnsi="Times New Roman" w:cs="Times New Roman"/>
                <w:spacing w:val="2"/>
                <w:sz w:val="20"/>
                <w:szCs w:val="20"/>
                <w:shd w:val="clear" w:color="auto" w:fill="FFFFFF"/>
              </w:rPr>
              <w:t xml:space="preserve"> 20/98 e 41/03, é indispensável a demonstração de que o valor readequado resulte numa renda mensal superior àquela percebida pelo segurado quando da entrada em vigor dos novos tetos instituídos pelas </w:t>
            </w:r>
            <w:proofErr w:type="spellStart"/>
            <w:r w:rsidRPr="00FA5C94">
              <w:rPr>
                <w:rFonts w:ascii="Times New Roman" w:hAnsi="Times New Roman" w:cs="Times New Roman"/>
                <w:spacing w:val="2"/>
                <w:sz w:val="20"/>
                <w:szCs w:val="20"/>
                <w:shd w:val="clear" w:color="auto" w:fill="FFFFFF"/>
              </w:rPr>
              <w:t>ECs</w:t>
            </w:r>
            <w:proofErr w:type="spellEnd"/>
            <w:r w:rsidRPr="00FA5C94">
              <w:rPr>
                <w:rFonts w:ascii="Times New Roman" w:hAnsi="Times New Roman" w:cs="Times New Roman"/>
                <w:spacing w:val="2"/>
                <w:sz w:val="20"/>
                <w:szCs w:val="20"/>
                <w:shd w:val="clear" w:color="auto" w:fill="FFFFFF"/>
              </w:rPr>
              <w:t xml:space="preserve"> 20/98 e 41/03. Do contrário, não haverá proveito econômico ao segurado. Deve-se aferir se a readequação dá lugar a uma nova renda mensal em 12/1998 e 01/2004 superior à percebida pelo segurado, o que deve ser feito “mediante o confronto entre a evolução da média ajustada (mantendo-se os componentes do menor valor teto, coeficiente de benefícios, e coeficiente legal (1/30 para cada grupo de 12 contribuições acima do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nos termos constantes das informações prestadas pelo Setor de Contadoria desta Corte (id. 143274610).Assentada a necessidade de se aferir, ainda na fase de conhecimento, se a readequação pleiteada tem o condão de gerar proveito econômico ao segurado, já que a efetiva limitação do salário de benefício pelo MVT e o eventual proveito econômico daí decorrente consistem em fatos constitutivos do direito do segurado, devendo, por conseguinte, serem provados para que se possa reconhecer a procedência do pedido. Ademais, em razão da evolução legislativa sobre o tema e dos fatores econômicos e históricos relacionados ao salário mínimo, a existência de tal proveito econômico é de difícil constatação matemática, conforme estudos juntados aos autos, o que só vem a corroborar a necessidade de sua comprovação no caso concreto. Por fim, com tal exigência, evitam-se as denominadas execuções vazias e assegura-se uma prestação jurisdicional mais eficiente, impedindo que o Judiciário se debruce mais alinhadamente sobre uma questão que não trará quaisquer benefícios às </w:t>
            </w:r>
            <w:proofErr w:type="spellStart"/>
            <w:r w:rsidRPr="00FA5C94">
              <w:rPr>
                <w:rFonts w:ascii="Times New Roman" w:hAnsi="Times New Roman" w:cs="Times New Roman"/>
                <w:spacing w:val="2"/>
                <w:sz w:val="20"/>
                <w:szCs w:val="20"/>
                <w:shd w:val="clear" w:color="auto" w:fill="FFFFFF"/>
              </w:rPr>
              <w:t>partes.Definida</w:t>
            </w:r>
            <w:proofErr w:type="spellEnd"/>
            <w:r w:rsidRPr="00FA5C94">
              <w:rPr>
                <w:rFonts w:ascii="Times New Roman" w:hAnsi="Times New Roman" w:cs="Times New Roman"/>
                <w:spacing w:val="2"/>
                <w:sz w:val="20"/>
                <w:szCs w:val="20"/>
                <w:shd w:val="clear" w:color="auto" w:fill="FFFFFF"/>
              </w:rPr>
              <w:t xml:space="preserve"> a seguinte tese jurídica: 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 menor valor teto funciona como um fator intrínseco do cálculo do valor do benefício e não pode ser afastado para fins de readequação; ao mesmo tempo, os benefícios concedidos antes da promulgação da CF/88 </w:t>
            </w:r>
            <w:r w:rsidRPr="00FA5C94">
              <w:rPr>
                <w:rFonts w:ascii="Times New Roman" w:hAnsi="Times New Roman" w:cs="Times New Roman"/>
                <w:spacing w:val="2"/>
                <w:sz w:val="20"/>
                <w:szCs w:val="20"/>
                <w:shd w:val="clear" w:color="auto" w:fill="FFFFFF"/>
              </w:rPr>
              <w:lastRenderedPageBreak/>
              <w:t>podem ser objeto da readequação nos termos delineados no RE 564.354, DESDE que, no momento da concessão, o benefício tenha sofrido limitação pelo MVT – maior valor teto, devendo tal limitação e eventual proveito econômico daí decorrente serem demonstrados na fase de conhecimento, observando-se em tal apuração a incidência de todos os fatores da fórmula de cálculo vigente no momento da concessão do benefício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 xml:space="preserve">, coeficiente de benefício e coeficiente legal (1/30 para cada grupo de 12 contribuições superiores ao </w:t>
            </w:r>
            <w:proofErr w:type="spellStart"/>
            <w:r w:rsidRPr="00FA5C94">
              <w:rPr>
                <w:rFonts w:ascii="Times New Roman" w:hAnsi="Times New Roman" w:cs="Times New Roman"/>
                <w:spacing w:val="2"/>
                <w:sz w:val="20"/>
                <w:szCs w:val="20"/>
                <w:shd w:val="clear" w:color="auto" w:fill="FFFFFF"/>
              </w:rPr>
              <w:t>mVT</w:t>
            </w:r>
            <w:proofErr w:type="spellEnd"/>
            <w:r w:rsidRPr="00FA5C94">
              <w:rPr>
                <w:rFonts w:ascii="Times New Roman" w:hAnsi="Times New Roman" w:cs="Times New Roman"/>
                <w:spacing w:val="2"/>
                <w:sz w:val="20"/>
                <w:szCs w:val="20"/>
                <w:shd w:val="clear" w:color="auto" w:fill="FFFFFF"/>
              </w:rPr>
              <w:t>)].Incidente acolhido.</w:t>
            </w:r>
          </w:p>
        </w:tc>
      </w:tr>
    </w:tbl>
    <w:p w14:paraId="6831BA8C" w14:textId="77777777" w:rsidR="000E0D3D" w:rsidRPr="00AB287D" w:rsidRDefault="000E0D3D" w:rsidP="00AB287D">
      <w:pPr>
        <w:spacing w:after="0" w:line="360" w:lineRule="auto"/>
        <w:jc w:val="both"/>
        <w:rPr>
          <w:rFonts w:ascii="Times New Roman" w:hAnsi="Times New Roman" w:cs="Times New Roman"/>
          <w:sz w:val="20"/>
          <w:szCs w:val="20"/>
        </w:rPr>
      </w:pPr>
    </w:p>
    <w:sectPr w:rsidR="000E0D3D" w:rsidRPr="00AB2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21"/>
    <w:rsid w:val="000E0D3D"/>
    <w:rsid w:val="00182425"/>
    <w:rsid w:val="003C35CC"/>
    <w:rsid w:val="0044542E"/>
    <w:rsid w:val="004F1021"/>
    <w:rsid w:val="0062603B"/>
    <w:rsid w:val="00716CDA"/>
    <w:rsid w:val="00A47066"/>
    <w:rsid w:val="00AB287D"/>
    <w:rsid w:val="00B70330"/>
    <w:rsid w:val="00DB1083"/>
    <w:rsid w:val="00EA52E8"/>
    <w:rsid w:val="00ED20DF"/>
    <w:rsid w:val="00F1231C"/>
    <w:rsid w:val="00FA5C94"/>
    <w:rsid w:val="00FC11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1363"/>
  <w15:chartTrackingRefBased/>
  <w15:docId w15:val="{F03AC2D1-EE33-4F32-A046-4C90B3A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D2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FA5C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F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70330"/>
    <w:rPr>
      <w:b/>
      <w:bCs/>
    </w:rPr>
  </w:style>
  <w:style w:type="character" w:customStyle="1" w:styleId="Ttulo1Char">
    <w:name w:val="Título 1 Char"/>
    <w:basedOn w:val="Fontepargpadro"/>
    <w:link w:val="Ttulo1"/>
    <w:uiPriority w:val="9"/>
    <w:rsid w:val="00ED20D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FA5C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4722">
      <w:bodyDiv w:val="1"/>
      <w:marLeft w:val="0"/>
      <w:marRight w:val="0"/>
      <w:marTop w:val="0"/>
      <w:marBottom w:val="0"/>
      <w:divBdr>
        <w:top w:val="none" w:sz="0" w:space="0" w:color="auto"/>
        <w:left w:val="none" w:sz="0" w:space="0" w:color="auto"/>
        <w:bottom w:val="none" w:sz="0" w:space="0" w:color="auto"/>
        <w:right w:val="none" w:sz="0" w:space="0" w:color="auto"/>
      </w:divBdr>
    </w:div>
    <w:div w:id="18149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4078</Words>
  <Characters>22025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Tribunal Regional Federal 3ª Região</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BOGHOURIAN</dc:creator>
  <cp:keywords/>
  <dc:description/>
  <cp:lastModifiedBy>Vanessa Mello</cp:lastModifiedBy>
  <cp:revision>2</cp:revision>
  <dcterms:created xsi:type="dcterms:W3CDTF">2022-08-14T18:49:00Z</dcterms:created>
  <dcterms:modified xsi:type="dcterms:W3CDTF">2022-08-14T18:49:00Z</dcterms:modified>
</cp:coreProperties>
</file>